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7BF5" w14:textId="3BBCF277" w:rsidR="0017726E" w:rsidRDefault="00B66421" w:rsidP="00A1223B">
      <w:pPr>
        <w:ind w:right="141"/>
        <w:jc w:val="both"/>
        <w:rPr>
          <w:b/>
          <w:sz w:val="28"/>
          <w:szCs w:val="28"/>
        </w:rPr>
      </w:pPr>
      <w:r w:rsidRPr="00B66421">
        <w:rPr>
          <w:b/>
          <w:noProof/>
          <w:sz w:val="28"/>
          <w:szCs w:val="28"/>
          <w:lang w:val="en-US" w:eastAsia="en-US"/>
        </w:rPr>
        <mc:AlternateContent>
          <mc:Choice Requires="wps">
            <w:drawing>
              <wp:anchor distT="0" distB="0" distL="0" distR="0" simplePos="0" relativeHeight="251659264" behindDoc="0" locked="0" layoutInCell="1" allowOverlap="1" wp14:anchorId="386978DC" wp14:editId="11E7AECA">
                <wp:simplePos x="0" y="0"/>
                <wp:positionH relativeFrom="margin">
                  <wp:posOffset>-76200</wp:posOffset>
                </wp:positionH>
                <wp:positionV relativeFrom="paragraph">
                  <wp:posOffset>-803275</wp:posOffset>
                </wp:positionV>
                <wp:extent cx="6000750" cy="684530"/>
                <wp:effectExtent l="0" t="0" r="0" b="1270"/>
                <wp:wrapNone/>
                <wp:docPr id="1026" name="Rectangle 596054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684530"/>
                        </a:xfrm>
                        <a:prstGeom prst="rect">
                          <a:avLst/>
                        </a:prstGeom>
                        <a:solidFill>
                          <a:srgbClr val="FFFFFF"/>
                        </a:solidFill>
                        <a:ln>
                          <a:noFill/>
                        </a:ln>
                      </wps:spPr>
                      <wps:txbx>
                        <w:txbxContent>
                          <w:p w14:paraId="30910B6D" w14:textId="77777777" w:rsidR="00B66421" w:rsidRDefault="00B66421" w:rsidP="00B66421">
                            <w:pPr>
                              <w:rPr>
                                <w:rFonts w:ascii="Arial Black" w:hAnsi="Arial Black"/>
                                <w:b/>
                                <w:color w:val="9BBB59"/>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pPr>
                            <w:r>
                              <w:rPr>
                                <w:rFonts w:ascii="Arial Black" w:hAnsi="Arial Black"/>
                                <w:b/>
                                <w:color w:val="9BBB59"/>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t>Jurnal Ilmiah Profesi Pendidikan</w:t>
                            </w:r>
                          </w:p>
                          <w:p w14:paraId="4770304F" w14:textId="77777777" w:rsidR="00B66421" w:rsidRDefault="00B66421" w:rsidP="00B66421">
                            <w:pPr>
                              <w:rPr>
                                <w:rFonts w:ascii="Cambria" w:hAnsi="Cambria"/>
                                <w:b/>
                                <w:sz w:val="22"/>
                                <w:szCs w:val="22"/>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pPr>
                            <w:r>
                              <w:rPr>
                                <w:rFonts w:ascii="Cambria" w:hAnsi="Cambria"/>
                                <w:b/>
                                <w:sz w:val="22"/>
                                <w:szCs w:val="22"/>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t>Volume 10, Nomor 4, November 2025</w:t>
                            </w:r>
                          </w:p>
                          <w:p w14:paraId="35FA2D21" w14:textId="77777777" w:rsidR="00B66421" w:rsidRDefault="00B66421" w:rsidP="00B66421">
                            <w:pPr>
                              <w:rPr>
                                <w:rFonts w:ascii="Cambria" w:hAnsi="Cambria"/>
                                <w:sz w:val="20"/>
                                <w:szCs w:val="20"/>
                              </w:rPr>
                            </w:pPr>
                            <w:r>
                              <w:rPr>
                                <w:rFonts w:ascii="Cambria" w:hAnsi="Cambria"/>
                                <w:sz w:val="20"/>
                                <w:szCs w:val="20"/>
                              </w:rPr>
                              <w:t>ISSN (Print): 2502-7069; ISSN (</w:t>
                            </w:r>
                            <w:r>
                              <w:rPr>
                                <w:rFonts w:ascii="Cambria" w:hAnsi="Cambria"/>
                                <w:i/>
                                <w:iCs/>
                                <w:sz w:val="20"/>
                                <w:szCs w:val="20"/>
                              </w:rPr>
                              <w:t>Online</w:t>
                            </w:r>
                            <w:r>
                              <w:rPr>
                                <w:rFonts w:ascii="Cambria" w:hAnsi="Cambria"/>
                                <w:sz w:val="20"/>
                                <w:szCs w:val="20"/>
                              </w:rPr>
                              <w:t>): 2620-8326</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w14:anchorId="386978DC" id="Rectangle 596054523" o:spid="_x0000_s1026" style="position:absolute;left:0;text-align:left;margin-left:-6pt;margin-top:-63.25pt;width:472.5pt;height:53.9pt;z-index:251659264;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xlI2QEAALUDAAAOAAAAZHJzL2Uyb0RvYy54bWysU8Fu2zAMvQ/YPwi6L3ayJO2MOMWwIsOA&#10;oivQFj3LshwLk0WNUmJnXz9KcdKguxXzQRBF6um9R3p1M3SG7RV6Dbbk00nOmbISam23JX9+2ny6&#10;5swHYWthwKqSH5TnN+uPH1a9K9QMWjC1QkYg1he9K3kbgiuyzMtWdcJPwClLyQawE4FC3GY1ip7Q&#10;O5PN8nyZ9YC1Q5DKezq9PSb5OuE3jZLhZ9N4FZgpOXELacW0VnHN1itRbFG4VsuRhngHi05oS4+e&#10;oW5FEGyH+h+oTksED02YSOgyaBotVdJAaqb5GzWPrXAqaSFzvDvb5P8frLzfP7oHjNS9uwP5y5Mj&#10;We98cc7EwI81Q4NdrCXibEguHs4uqiEwSYfLPM+vFmS2pNzyer74nGzORHG67dCH7wo6FjclR+pS&#10;Mk/s73yI74viVJKIgdH1RhuTAtxW3wyyvaCObtIXm0hX/GWZsbHYQrx2TMeTJOyoJaoKQzVQMm4r&#10;qA8PhKqQCLWAfzjraSpK7n/vBCrOzA9Ltn+ZzudxjFIwX1zNKMDLTHWZEVYSVMllwKQvinoaXgS6&#10;UXkgz+7h1GZRvDHgWHsU8nUXoNHJnVe+oyKajeTAOMdx+C7jVPX6t63/AgAA//8DAFBLAwQUAAYA&#10;CAAAACEAGCff6OAAAAAMAQAADwAAAGRycy9kb3ducmV2LnhtbEyPwU7DMBBE70j8g7VI3Fq7LYQS&#10;4lQIiUMvtIR8gBubJKq9jmKnSfl6tlzKbXd2NPsm20zOspPpQ+tRwmIugBmsvG6xllB+vc/WwEJU&#10;qJX1aCScTYBNfnuTqVT7ET/NqYg1oxAMqZLQxNilnIeqMU6Fue8M0u3b905FWvua616NFO4sXwqR&#10;cKdapA+N6sxbY6pjMTgJu/1uW4oH8TMk560ei/3xw4ZSyvu76fUFWDRTvJrhgk/okBPTwQ+oA7MS&#10;ZosldYl/Q/IIjCzPqxVJh4u0fgKeZ/x/ifwXAAD//wMAUEsBAi0AFAAGAAgAAAAhALaDOJL+AAAA&#10;4QEAABMAAAAAAAAAAAAAAAAAAAAAAFtDb250ZW50X1R5cGVzXS54bWxQSwECLQAUAAYACAAAACEA&#10;OP0h/9YAAACUAQAACwAAAAAAAAAAAAAAAAAvAQAAX3JlbHMvLnJlbHNQSwECLQAUAAYACAAAACEA&#10;bPcZSNkBAAC1AwAADgAAAAAAAAAAAAAAAAAuAgAAZHJzL2Uyb0RvYy54bWxQSwECLQAUAAYACAAA&#10;ACEAGCff6OAAAAAMAQAADwAAAAAAAAAAAAAAAAAzBAAAZHJzL2Rvd25yZXYueG1sUEsFBgAAAAAE&#10;AAQA8wAAAEAFAAAAAA==&#10;" stroked="f">
                <v:textbox>
                  <w:txbxContent>
                    <w:p w14:paraId="30910B6D" w14:textId="77777777" w:rsidR="00B66421" w:rsidRDefault="00B66421" w:rsidP="00B66421">
                      <w:pPr>
                        <w:rPr>
                          <w:rFonts w:ascii="Arial Black" w:hAnsi="Arial Black"/>
                          <w:b/>
                          <w:color w:val="9BBB59"/>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pPr>
                      <w:r>
                        <w:rPr>
                          <w:rFonts w:ascii="Arial Black" w:hAnsi="Arial Black"/>
                          <w:b/>
                          <w:color w:val="9BBB59"/>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t>Jurnal Ilmiah Profesi Pendidikan</w:t>
                      </w:r>
                    </w:p>
                    <w:p w14:paraId="4770304F" w14:textId="77777777" w:rsidR="00B66421" w:rsidRDefault="00B66421" w:rsidP="00B66421">
                      <w:pPr>
                        <w:rPr>
                          <w:rFonts w:ascii="Cambria" w:hAnsi="Cambria"/>
                          <w:b/>
                          <w:sz w:val="22"/>
                          <w:szCs w:val="22"/>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pPr>
                      <w:r>
                        <w:rPr>
                          <w:rFonts w:ascii="Cambria" w:hAnsi="Cambria"/>
                          <w:b/>
                          <w:sz w:val="22"/>
                          <w:szCs w:val="22"/>
                          <w14:textOutline w14:w="0" w14:cap="flat" w14:cmpd="sng" w14:algn="ctr">
                            <w14:noFill/>
                            <w14:prstDash w14:val="solid"/>
                            <w14:bevel/>
                          </w14:textOutline>
                          <w14:props3d w14:extrusionH="57150" w14:contourW="0" w14:prstMaterial="matte">
                            <w14:bevelT w14:w="63500" w14:h="12700" w14:prst="angle"/>
                            <w14:contourClr>
                              <w14:srgbClr w14:val="FFFFFF">
                                <w14:lumMod w14:val="65000"/>
                              </w14:srgbClr>
                            </w14:contourClr>
                          </w14:props3d>
                        </w:rPr>
                        <w:t>Volume 10, Nomor 4, November 2025</w:t>
                      </w:r>
                    </w:p>
                    <w:p w14:paraId="35FA2D21" w14:textId="77777777" w:rsidR="00B66421" w:rsidRDefault="00B66421" w:rsidP="00B66421">
                      <w:pPr>
                        <w:rPr>
                          <w:rFonts w:ascii="Cambria" w:hAnsi="Cambria"/>
                          <w:sz w:val="20"/>
                          <w:szCs w:val="20"/>
                        </w:rPr>
                      </w:pPr>
                      <w:r>
                        <w:rPr>
                          <w:rFonts w:ascii="Cambria" w:hAnsi="Cambria"/>
                          <w:sz w:val="20"/>
                          <w:szCs w:val="20"/>
                        </w:rPr>
                        <w:t>ISSN (Print): 2502-7069; ISSN (</w:t>
                      </w:r>
                      <w:r>
                        <w:rPr>
                          <w:rFonts w:ascii="Cambria" w:hAnsi="Cambria"/>
                          <w:i/>
                          <w:iCs/>
                          <w:sz w:val="20"/>
                          <w:szCs w:val="20"/>
                        </w:rPr>
                        <w:t>Online</w:t>
                      </w:r>
                      <w:r>
                        <w:rPr>
                          <w:rFonts w:ascii="Cambria" w:hAnsi="Cambria"/>
                          <w:sz w:val="20"/>
                          <w:szCs w:val="20"/>
                        </w:rPr>
                        <w:t>): 2620-8326</w:t>
                      </w:r>
                    </w:p>
                  </w:txbxContent>
                </v:textbox>
                <w10:wrap anchorx="margin"/>
              </v:rect>
            </w:pict>
          </mc:Fallback>
        </mc:AlternateContent>
      </w:r>
      <w:r w:rsidR="00A1223B" w:rsidRPr="00A1223B">
        <w:rPr>
          <w:b/>
          <w:sz w:val="28"/>
          <w:szCs w:val="28"/>
        </w:rPr>
        <w:t>The Effect Of Using Youtube Videos As Media To Improve Listening Comprehension Of Narrative Text In Vocational School Surabaya</w:t>
      </w:r>
    </w:p>
    <w:p w14:paraId="436472BA" w14:textId="3350BF05" w:rsidR="00A1223B" w:rsidRPr="00A1223B" w:rsidRDefault="00A1223B" w:rsidP="00A1223B">
      <w:pPr>
        <w:ind w:right="141"/>
        <w:jc w:val="both"/>
        <w:rPr>
          <w:b/>
          <w:sz w:val="28"/>
          <w:szCs w:val="28"/>
        </w:rPr>
      </w:pPr>
    </w:p>
    <w:p w14:paraId="04B25739" w14:textId="198239C2" w:rsidR="0017726E" w:rsidRPr="00A1223B" w:rsidRDefault="00000000" w:rsidP="00A1223B">
      <w:pPr>
        <w:tabs>
          <w:tab w:val="left" w:pos="3630"/>
        </w:tabs>
        <w:jc w:val="both"/>
        <w:rPr>
          <w:b/>
          <w:sz w:val="22"/>
          <w:szCs w:val="22"/>
        </w:rPr>
      </w:pPr>
      <w:r w:rsidRPr="00A1223B">
        <w:rPr>
          <w:b/>
          <w:sz w:val="22"/>
          <w:szCs w:val="22"/>
        </w:rPr>
        <w:t xml:space="preserve">Tiyasa Nindya Arini* </w:t>
      </w:r>
      <w:r w:rsidR="00A1223B">
        <w:rPr>
          <w:b/>
          <w:sz w:val="22"/>
          <w:szCs w:val="22"/>
        </w:rPr>
        <w:t xml:space="preserve">&amp; </w:t>
      </w:r>
      <w:r w:rsidRPr="00A1223B">
        <w:rPr>
          <w:b/>
          <w:sz w:val="22"/>
          <w:szCs w:val="22"/>
        </w:rPr>
        <w:t>Rahayu Kuswardani</w:t>
      </w:r>
      <w:r w:rsidRPr="00A1223B">
        <w:rPr>
          <w:b/>
          <w:sz w:val="22"/>
          <w:szCs w:val="22"/>
        </w:rPr>
        <w:tab/>
      </w:r>
    </w:p>
    <w:p w14:paraId="48C8EACA" w14:textId="77777777" w:rsidR="0017726E" w:rsidRPr="00A1223B" w:rsidRDefault="00000000" w:rsidP="00A1223B">
      <w:pPr>
        <w:jc w:val="both"/>
        <w:rPr>
          <w:sz w:val="20"/>
          <w:szCs w:val="20"/>
        </w:rPr>
      </w:pPr>
      <w:r w:rsidRPr="00A1223B">
        <w:rPr>
          <w:sz w:val="20"/>
          <w:szCs w:val="20"/>
        </w:rPr>
        <w:t>Faculty Languages And Arts, State University of Surabaya</w:t>
      </w:r>
    </w:p>
    <w:p w14:paraId="63C9ED0B" w14:textId="394114FE" w:rsidR="00972B55" w:rsidRPr="00A1223B" w:rsidRDefault="00972B55" w:rsidP="00A1223B">
      <w:pPr>
        <w:jc w:val="both"/>
        <w:rPr>
          <w:sz w:val="20"/>
          <w:szCs w:val="20"/>
        </w:rPr>
      </w:pPr>
      <w:r w:rsidRPr="00A1223B">
        <w:rPr>
          <w:sz w:val="20"/>
          <w:szCs w:val="20"/>
        </w:rPr>
        <w:t>Jl. Raya Kampus Unesa, Lidah Wetan, Kec. Lakarsantri, Surabaya, Jawa Timur 60213</w:t>
      </w:r>
      <w:r w:rsidR="00A1223B">
        <w:rPr>
          <w:sz w:val="20"/>
          <w:szCs w:val="20"/>
        </w:rPr>
        <w:t xml:space="preserve">, Indonesia </w:t>
      </w:r>
    </w:p>
    <w:p w14:paraId="5EE4335A" w14:textId="1C6F2393" w:rsidR="0017726E" w:rsidRPr="00A1223B" w:rsidRDefault="00000000" w:rsidP="00A1223B">
      <w:pPr>
        <w:jc w:val="both"/>
        <w:rPr>
          <w:color w:val="000000"/>
          <w:sz w:val="20"/>
          <w:szCs w:val="20"/>
        </w:rPr>
      </w:pPr>
      <w:r w:rsidRPr="00A1223B">
        <w:rPr>
          <w:color w:val="000000"/>
          <w:sz w:val="20"/>
          <w:szCs w:val="20"/>
        </w:rPr>
        <w:t xml:space="preserve">*Corresponding Author: </w:t>
      </w:r>
      <w:hyperlink r:id="rId6" w:history="1">
        <w:r w:rsidR="00B049E4" w:rsidRPr="00A1223B">
          <w:rPr>
            <w:rStyle w:val="Hyperlink"/>
            <w:sz w:val="20"/>
            <w:szCs w:val="20"/>
          </w:rPr>
          <w:t>tiyasanindyaa1234@gmail.com</w:t>
        </w:r>
      </w:hyperlink>
      <w:r w:rsidR="00B049E4" w:rsidRPr="00A1223B">
        <w:rPr>
          <w:color w:val="000000"/>
          <w:sz w:val="20"/>
          <w:szCs w:val="20"/>
        </w:rPr>
        <w:t xml:space="preserve">, </w:t>
      </w:r>
      <w:hyperlink r:id="rId7" w:history="1">
        <w:r w:rsidR="00B049E4" w:rsidRPr="00A1223B">
          <w:rPr>
            <w:rStyle w:val="Hyperlink"/>
            <w:sz w:val="20"/>
            <w:szCs w:val="20"/>
          </w:rPr>
          <w:t>rahayukuswardani@unesa.ac.id</w:t>
        </w:r>
      </w:hyperlink>
      <w:r w:rsidR="00B049E4" w:rsidRPr="00A1223B">
        <w:rPr>
          <w:color w:val="000000"/>
          <w:sz w:val="20"/>
          <w:szCs w:val="20"/>
        </w:rPr>
        <w:t xml:space="preserve"> </w:t>
      </w:r>
    </w:p>
    <w:p w14:paraId="7392FA14" w14:textId="77777777" w:rsidR="0017726E" w:rsidRPr="00A1223B" w:rsidRDefault="0017726E" w:rsidP="00A1223B">
      <w:pPr>
        <w:ind w:right="115"/>
        <w:jc w:val="both"/>
        <w:rPr>
          <w:sz w:val="22"/>
          <w:szCs w:val="22"/>
        </w:rPr>
      </w:pPr>
    </w:p>
    <w:tbl>
      <w:tblPr>
        <w:tblStyle w:val="a"/>
        <w:tblW w:w="89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384"/>
      </w:tblGrid>
      <w:tr w:rsidR="0017726E" w:rsidRPr="00A1223B" w14:paraId="652C8581" w14:textId="77777777" w:rsidTr="00D76492">
        <w:tc>
          <w:tcPr>
            <w:tcW w:w="2552" w:type="dxa"/>
            <w:tcBorders>
              <w:top w:val="nil"/>
              <w:left w:val="nil"/>
              <w:bottom w:val="nil"/>
            </w:tcBorders>
          </w:tcPr>
          <w:p w14:paraId="6890D12B" w14:textId="77777777" w:rsidR="0017726E" w:rsidRPr="00A1223B" w:rsidRDefault="00000000" w:rsidP="00A1223B">
            <w:pPr>
              <w:pBdr>
                <w:top w:val="nil"/>
                <w:left w:val="nil"/>
                <w:bottom w:val="nil"/>
                <w:right w:val="nil"/>
                <w:between w:val="nil"/>
              </w:pBdr>
              <w:spacing w:line="276" w:lineRule="auto"/>
              <w:jc w:val="both"/>
              <w:rPr>
                <w:rFonts w:eastAsia="Calibri"/>
                <w:b/>
                <w:color w:val="000000"/>
                <w:sz w:val="18"/>
                <w:szCs w:val="18"/>
              </w:rPr>
            </w:pPr>
            <w:r w:rsidRPr="00A1223B">
              <w:rPr>
                <w:rFonts w:eastAsia="Calibri"/>
                <w:b/>
                <w:color w:val="000000"/>
                <w:sz w:val="18"/>
                <w:szCs w:val="18"/>
              </w:rPr>
              <w:t>Article History</w:t>
            </w:r>
          </w:p>
          <w:p w14:paraId="58EBF86C" w14:textId="295B560E" w:rsidR="00D76492" w:rsidRPr="00D76492" w:rsidRDefault="00D76492" w:rsidP="00D76492">
            <w:pPr>
              <w:pBdr>
                <w:top w:val="nil"/>
                <w:left w:val="nil"/>
                <w:bottom w:val="nil"/>
                <w:right w:val="nil"/>
                <w:between w:val="nil"/>
              </w:pBdr>
              <w:spacing w:line="276" w:lineRule="auto"/>
              <w:jc w:val="both"/>
              <w:rPr>
                <w:rFonts w:eastAsia="Calibri"/>
                <w:color w:val="000000"/>
                <w:sz w:val="18"/>
                <w:szCs w:val="18"/>
                <w:lang w:val="id-ID"/>
              </w:rPr>
            </w:pPr>
            <w:r w:rsidRPr="00D76492">
              <w:rPr>
                <w:rFonts w:eastAsia="Calibri"/>
                <w:color w:val="000000"/>
                <w:sz w:val="18"/>
                <w:szCs w:val="18"/>
                <w:lang w:val="id-ID"/>
              </w:rPr>
              <w:t>Received : September 1</w:t>
            </w:r>
            <w:r w:rsidR="00685B56">
              <w:rPr>
                <w:rFonts w:eastAsia="Calibri"/>
                <w:color w:val="000000"/>
                <w:sz w:val="18"/>
                <w:szCs w:val="18"/>
                <w:lang w:val="id-ID"/>
              </w:rPr>
              <w:t>3</w:t>
            </w:r>
            <w:r w:rsidRPr="00D76492">
              <w:rPr>
                <w:rFonts w:eastAsia="Calibri"/>
                <w:color w:val="000000"/>
                <w:sz w:val="18"/>
                <w:szCs w:val="18"/>
                <w:vertAlign w:val="superscript"/>
                <w:lang w:val="id-ID"/>
              </w:rPr>
              <w:t>th</w:t>
            </w:r>
            <w:r w:rsidRPr="00D76492">
              <w:rPr>
                <w:rFonts w:eastAsia="Calibri"/>
                <w:color w:val="000000"/>
                <w:sz w:val="18"/>
                <w:szCs w:val="18"/>
                <w:lang w:val="id-ID"/>
              </w:rPr>
              <w:t>, 2025</w:t>
            </w:r>
          </w:p>
          <w:p w14:paraId="6FA62C4F" w14:textId="77777777" w:rsidR="00D76492" w:rsidRPr="00D76492" w:rsidRDefault="00D76492" w:rsidP="00D76492">
            <w:pPr>
              <w:pBdr>
                <w:top w:val="nil"/>
                <w:left w:val="nil"/>
                <w:bottom w:val="nil"/>
                <w:right w:val="nil"/>
                <w:between w:val="nil"/>
              </w:pBdr>
              <w:spacing w:line="276" w:lineRule="auto"/>
              <w:jc w:val="both"/>
              <w:rPr>
                <w:rFonts w:eastAsia="Calibri"/>
                <w:color w:val="000000"/>
                <w:sz w:val="18"/>
                <w:szCs w:val="18"/>
                <w:lang w:val="id-ID"/>
              </w:rPr>
            </w:pPr>
            <w:r w:rsidRPr="00D76492">
              <w:rPr>
                <w:rFonts w:eastAsia="Calibri"/>
                <w:color w:val="000000"/>
                <w:sz w:val="18"/>
                <w:szCs w:val="18"/>
                <w:lang w:val="id-ID"/>
              </w:rPr>
              <w:t>Revised : October 27</w:t>
            </w:r>
            <w:r w:rsidRPr="00D76492">
              <w:rPr>
                <w:rFonts w:eastAsia="Calibri"/>
                <w:color w:val="000000"/>
                <w:sz w:val="18"/>
                <w:szCs w:val="18"/>
                <w:vertAlign w:val="superscript"/>
                <w:lang w:val="id-ID"/>
              </w:rPr>
              <w:t>th</w:t>
            </w:r>
            <w:r w:rsidRPr="00D76492">
              <w:rPr>
                <w:rFonts w:eastAsia="Calibri"/>
                <w:color w:val="000000"/>
                <w:sz w:val="18"/>
                <w:szCs w:val="18"/>
                <w:lang w:val="id-ID"/>
              </w:rPr>
              <w:t>, 2025</w:t>
            </w:r>
          </w:p>
          <w:p w14:paraId="569F8C64" w14:textId="54FED42D" w:rsidR="0017726E" w:rsidRPr="00A1223B" w:rsidRDefault="00D76492" w:rsidP="00D76492">
            <w:pPr>
              <w:pBdr>
                <w:top w:val="nil"/>
                <w:left w:val="nil"/>
                <w:bottom w:val="nil"/>
                <w:right w:val="nil"/>
                <w:between w:val="nil"/>
              </w:pBdr>
              <w:spacing w:after="200" w:line="276" w:lineRule="auto"/>
              <w:jc w:val="both"/>
              <w:rPr>
                <w:rFonts w:eastAsia="Calibri"/>
                <w:b/>
                <w:color w:val="000000"/>
                <w:sz w:val="18"/>
                <w:szCs w:val="18"/>
              </w:rPr>
            </w:pPr>
            <w:r w:rsidRPr="006D0BA5">
              <w:rPr>
                <w:rFonts w:eastAsia="Calibri"/>
                <w:color w:val="000000"/>
                <w:sz w:val="18"/>
                <w:szCs w:val="18"/>
                <w:lang w:val="id-ID"/>
              </w:rPr>
              <w:t xml:space="preserve">Accepted : </w:t>
            </w:r>
            <w:r w:rsidRPr="00D76492">
              <w:rPr>
                <w:rFonts w:eastAsia="Calibri"/>
                <w:color w:val="000000"/>
                <w:sz w:val="18"/>
                <w:szCs w:val="18"/>
                <w:lang w:val="id-ID"/>
              </w:rPr>
              <w:t>November</w:t>
            </w:r>
            <w:r w:rsidRPr="006D0BA5">
              <w:rPr>
                <w:rFonts w:eastAsia="Calibri"/>
                <w:color w:val="000000"/>
                <w:sz w:val="18"/>
                <w:szCs w:val="18"/>
                <w:lang w:val="id-ID"/>
              </w:rPr>
              <w:t xml:space="preserve"> </w:t>
            </w:r>
            <w:r w:rsidRPr="00D76492">
              <w:rPr>
                <w:rFonts w:eastAsia="Calibri"/>
                <w:color w:val="000000"/>
                <w:sz w:val="18"/>
                <w:szCs w:val="18"/>
                <w:lang w:val="id-ID"/>
              </w:rPr>
              <w:t>02</w:t>
            </w:r>
            <w:r w:rsidRPr="006D0BA5">
              <w:rPr>
                <w:rFonts w:eastAsia="Calibri"/>
                <w:color w:val="000000"/>
                <w:sz w:val="18"/>
                <w:szCs w:val="18"/>
                <w:vertAlign w:val="superscript"/>
                <w:lang w:val="id-ID"/>
              </w:rPr>
              <w:t>th</w:t>
            </w:r>
            <w:r w:rsidRPr="006D0BA5">
              <w:rPr>
                <w:rFonts w:eastAsia="Calibri"/>
                <w:color w:val="000000"/>
                <w:sz w:val="18"/>
                <w:szCs w:val="18"/>
                <w:lang w:val="id-ID"/>
              </w:rPr>
              <w:t>, 2025</w:t>
            </w:r>
          </w:p>
        </w:tc>
        <w:tc>
          <w:tcPr>
            <w:tcW w:w="6384" w:type="dxa"/>
            <w:tcBorders>
              <w:top w:val="nil"/>
              <w:bottom w:val="nil"/>
              <w:right w:val="nil"/>
            </w:tcBorders>
          </w:tcPr>
          <w:p w14:paraId="5B943F40" w14:textId="5A41FC6A" w:rsidR="0017726E" w:rsidRPr="00A1223B" w:rsidRDefault="00000000" w:rsidP="00A1223B">
            <w:pPr>
              <w:jc w:val="both"/>
              <w:rPr>
                <w:color w:val="000000"/>
                <w:sz w:val="20"/>
                <w:szCs w:val="20"/>
              </w:rPr>
            </w:pPr>
            <w:r w:rsidRPr="00A1223B">
              <w:rPr>
                <w:b/>
                <w:sz w:val="20"/>
                <w:szCs w:val="20"/>
              </w:rPr>
              <w:t xml:space="preserve">Abstract: </w:t>
            </w:r>
            <w:r w:rsidRPr="00A1223B">
              <w:rPr>
                <w:color w:val="000000"/>
                <w:sz w:val="20"/>
                <w:szCs w:val="20"/>
              </w:rPr>
              <w:t>This research examines the impact of audio visual media, particularly YouTube, on students’ listening comprehension in vocational schools. A quasi experimental design was applied by dividing participants into experimental and control groups, each consisting of thirty five eleventh grade students from a vocational school in Surabaya. The study was carried out over five meetings, with listening tests used to measure students’ progress before and after the treatment.</w:t>
            </w:r>
            <w:r w:rsidR="00860AC8">
              <w:rPr>
                <w:color w:val="000000"/>
                <w:sz w:val="20"/>
                <w:szCs w:val="20"/>
              </w:rPr>
              <w:t xml:space="preserve"> </w:t>
            </w:r>
            <w:r w:rsidRPr="00A1223B">
              <w:rPr>
                <w:color w:val="000000"/>
                <w:sz w:val="20"/>
                <w:szCs w:val="20"/>
              </w:rPr>
              <w:t xml:space="preserve">The results showed significant improvement in the experimental group exposed to YouTube based learning activities. Their average score increased from 42.57 in the pre test to 68.57 in the post test, demonstrating the effectiveness of integrating audio visual resources into the classroom. Statistical testing using the Wilcoxon method confirmed the findings, as the p value was lower than 0.05. Consequently, the alternative hypothesis was accepted, and the null hypothesis was rejected, providing strong evidence of the benefits of YouTube in language learning. In addition to statistical confirmation, the study highlights the broader potential of technology in education. Audio visual media not only make learning more interactive and enjoyable but also provide authentic exposure that stimulates motivation and student participation. </w:t>
            </w:r>
          </w:p>
          <w:p w14:paraId="614B70B6" w14:textId="77777777" w:rsidR="0017726E" w:rsidRPr="00A1223B" w:rsidRDefault="0017726E" w:rsidP="00A1223B">
            <w:pPr>
              <w:jc w:val="both"/>
              <w:rPr>
                <w:sz w:val="20"/>
                <w:szCs w:val="20"/>
              </w:rPr>
            </w:pPr>
          </w:p>
          <w:p w14:paraId="1449902B" w14:textId="7F920FD9" w:rsidR="0017726E" w:rsidRPr="00A1223B" w:rsidRDefault="00000000" w:rsidP="00A1223B">
            <w:pPr>
              <w:jc w:val="both"/>
              <w:rPr>
                <w:sz w:val="20"/>
                <w:szCs w:val="20"/>
              </w:rPr>
            </w:pPr>
            <w:r w:rsidRPr="00A1223B">
              <w:rPr>
                <w:b/>
                <w:sz w:val="20"/>
                <w:szCs w:val="20"/>
              </w:rPr>
              <w:t>Keywords:</w:t>
            </w:r>
            <w:r w:rsidRPr="00A1223B">
              <w:rPr>
                <w:sz w:val="20"/>
                <w:szCs w:val="20"/>
              </w:rPr>
              <w:t xml:space="preserve"> Audio Visual Media, Listening Comprehension, Narrative Text, Quantitative Method</w:t>
            </w:r>
          </w:p>
        </w:tc>
      </w:tr>
    </w:tbl>
    <w:p w14:paraId="6E43E9ED" w14:textId="77777777" w:rsidR="0017726E" w:rsidRDefault="0017726E" w:rsidP="00A1223B">
      <w:pPr>
        <w:jc w:val="both"/>
        <w:rPr>
          <w:b/>
          <w:smallCaps/>
          <w:sz w:val="22"/>
          <w:szCs w:val="22"/>
        </w:rPr>
      </w:pPr>
    </w:p>
    <w:p w14:paraId="38CD4D01" w14:textId="77777777" w:rsidR="00A1223B" w:rsidRDefault="00A1223B" w:rsidP="00A1223B">
      <w:pPr>
        <w:jc w:val="both"/>
        <w:rPr>
          <w:b/>
          <w:smallCaps/>
          <w:sz w:val="22"/>
          <w:szCs w:val="22"/>
        </w:rPr>
      </w:pPr>
    </w:p>
    <w:p w14:paraId="62322289" w14:textId="77777777" w:rsidR="00B66421" w:rsidRDefault="00B66421" w:rsidP="00A1223B">
      <w:pPr>
        <w:shd w:val="clear" w:color="auto" w:fill="FFFFFF"/>
        <w:jc w:val="both"/>
        <w:rPr>
          <w:b/>
          <w:color w:val="000000"/>
          <w:sz w:val="22"/>
          <w:szCs w:val="22"/>
        </w:rPr>
        <w:sectPr w:rsidR="00B66421" w:rsidSect="00C33625">
          <w:headerReference w:type="even" r:id="rId8"/>
          <w:headerReference w:type="default" r:id="rId9"/>
          <w:footerReference w:type="even" r:id="rId10"/>
          <w:footerReference w:type="default" r:id="rId11"/>
          <w:footerReference w:type="first" r:id="rId12"/>
          <w:type w:val="continuous"/>
          <w:pgSz w:w="11907" w:h="16840"/>
          <w:pgMar w:top="1531" w:right="1418" w:bottom="1418" w:left="1418" w:header="851" w:footer="454" w:gutter="0"/>
          <w:pgNumType w:start="3546"/>
          <w:cols w:space="425"/>
          <w:docGrid w:linePitch="326"/>
        </w:sectPr>
      </w:pPr>
    </w:p>
    <w:p w14:paraId="0D6AA97F" w14:textId="77777777" w:rsidR="0017726E" w:rsidRPr="00A1223B" w:rsidRDefault="00000000" w:rsidP="00A1223B">
      <w:pPr>
        <w:shd w:val="clear" w:color="auto" w:fill="FFFFFF"/>
        <w:jc w:val="both"/>
        <w:rPr>
          <w:b/>
          <w:color w:val="000000"/>
          <w:sz w:val="22"/>
          <w:szCs w:val="22"/>
        </w:rPr>
      </w:pPr>
      <w:r w:rsidRPr="00A1223B">
        <w:rPr>
          <w:b/>
          <w:color w:val="000000"/>
          <w:sz w:val="22"/>
          <w:szCs w:val="22"/>
        </w:rPr>
        <w:t>INTRODUCTION</w:t>
      </w:r>
    </w:p>
    <w:p w14:paraId="4FF534EB" w14:textId="77777777" w:rsidR="0017726E" w:rsidRPr="00A1223B" w:rsidRDefault="0017726E" w:rsidP="00A1223B">
      <w:pPr>
        <w:shd w:val="clear" w:color="auto" w:fill="FFFFFF"/>
        <w:ind w:firstLine="720"/>
        <w:jc w:val="both"/>
        <w:rPr>
          <w:sz w:val="22"/>
          <w:szCs w:val="22"/>
        </w:rPr>
      </w:pPr>
    </w:p>
    <w:p w14:paraId="390C2984" w14:textId="05D77A93" w:rsidR="0017726E" w:rsidRPr="00A1223B" w:rsidRDefault="00000000" w:rsidP="001D70BC">
      <w:pPr>
        <w:shd w:val="clear" w:color="auto" w:fill="FFFFFF"/>
        <w:ind w:firstLine="567"/>
        <w:jc w:val="both"/>
        <w:rPr>
          <w:sz w:val="22"/>
          <w:szCs w:val="22"/>
        </w:rPr>
      </w:pPr>
      <w:r w:rsidRPr="00A1223B">
        <w:rPr>
          <w:sz w:val="22"/>
          <w:szCs w:val="22"/>
        </w:rPr>
        <w:t>In the modern era of globalization, English has become more than just a school subject. It is a vital bridge that connects people across cultures, industries, and communities. Yet, while students are expected to cross this bridge with ease, the reality shows a very different picture. Many learners, especially those in vocational schools, still struggle with listening comprehension. They often find it challenging to understand different accents, expand their vocabulary, or capture meaning in real-time conversations. This gap between what is expected and what actually occurs highlights the urgent need for new teaching strategies that are both engaging and effective.</w:t>
      </w:r>
      <w:r w:rsidR="001D70BC">
        <w:rPr>
          <w:sz w:val="22"/>
          <w:szCs w:val="22"/>
        </w:rPr>
        <w:t xml:space="preserve"> </w:t>
      </w:r>
      <w:r w:rsidRPr="00A1223B">
        <w:rPr>
          <w:sz w:val="22"/>
          <w:szCs w:val="22"/>
        </w:rPr>
        <w:t xml:space="preserve">Technology integration in education has opened exciting opportunities to address these challenges. Audio visual media, by blending sound, images, and storytelling, creates a learning experience that feels more alive and relatable compared to traditional textbook-based methods. Platforms such as YouTube bring authentic voices, real cultural contexts, and meaningful situations into </w:t>
      </w:r>
      <w:r w:rsidRPr="00A1223B">
        <w:rPr>
          <w:sz w:val="22"/>
          <w:szCs w:val="22"/>
        </w:rPr>
        <w:t>the classroom. With this exposure, students are not only listening to English but also seeing and feeling how the language is used in real-life communication (Syafrizal, 2018). Learning then becomes more than memorizing; it transforms into an exploration of the world through language.</w:t>
      </w:r>
    </w:p>
    <w:p w14:paraId="25F716E0" w14:textId="50275FB8" w:rsidR="0017726E" w:rsidRPr="00A1223B" w:rsidRDefault="00000000" w:rsidP="001D70BC">
      <w:pPr>
        <w:shd w:val="clear" w:color="auto" w:fill="FFFFFF"/>
        <w:ind w:firstLine="567"/>
        <w:jc w:val="both"/>
        <w:rPr>
          <w:sz w:val="22"/>
          <w:szCs w:val="22"/>
        </w:rPr>
      </w:pPr>
      <w:r w:rsidRPr="00A1223B">
        <w:rPr>
          <w:sz w:val="22"/>
          <w:szCs w:val="22"/>
        </w:rPr>
        <w:t>Research has consistently shown the potential of YouTube as a learning tool. In Malaysia, a study revealed that students who engaged with video-based lessons demonstrated significant improvement in listening comprehension along with increased motivation and enthusiasm for learning (Yaacob et al., 2023). Similar results were found in Libya, where university students improved their listening skills through YouTube, demonstrating that the platform can serve as a valuable resource in language education rather than just a source of entertainment (Jawad, 2021). These findings show that audio visual resources can spark curiosity and deepen comprehension in ways that traditional methods often fail to achieve.</w:t>
      </w:r>
      <w:r w:rsidR="001D70BC">
        <w:rPr>
          <w:sz w:val="22"/>
          <w:szCs w:val="22"/>
        </w:rPr>
        <w:t xml:space="preserve"> </w:t>
      </w:r>
      <w:r w:rsidRPr="00A1223B">
        <w:rPr>
          <w:sz w:val="22"/>
          <w:szCs w:val="22"/>
        </w:rPr>
        <w:t xml:space="preserve">Despite these positive outcomes, there are still unanswered questions. Much of the existing </w:t>
      </w:r>
      <w:r w:rsidRPr="00A1223B">
        <w:rPr>
          <w:sz w:val="22"/>
          <w:szCs w:val="22"/>
        </w:rPr>
        <w:lastRenderedPageBreak/>
        <w:t>research has focused on elementary schools, secondary schools, or higher education, while vocational schools remain largely underexplored (Khoir et al., 2024). This is a significant gap because vocational students represent a unique group of learners. They often favor practical, hands-on approaches rather than abstract or highly theoretical instruction (Lamb et al., 2015). Their learning needs demand teaching strategies that connect directly with real-world applications. Investigating how audio visual media can help vocational students comprehend narrative texts is therefore essential in designing educational practices that match their specific context.</w:t>
      </w:r>
    </w:p>
    <w:p w14:paraId="7DCB316F" w14:textId="5BF9680A" w:rsidR="0017726E" w:rsidRPr="00A1223B" w:rsidRDefault="00000000" w:rsidP="001D70BC">
      <w:pPr>
        <w:shd w:val="clear" w:color="auto" w:fill="FFFFFF"/>
        <w:ind w:firstLine="567"/>
        <w:jc w:val="both"/>
        <w:rPr>
          <w:sz w:val="22"/>
          <w:szCs w:val="22"/>
        </w:rPr>
      </w:pPr>
      <w:r w:rsidRPr="00A1223B">
        <w:rPr>
          <w:sz w:val="22"/>
          <w:szCs w:val="22"/>
        </w:rPr>
        <w:t>Another challenge that must be acknowledged is the overwhelming volume of content available on YouTube. While the platform offers endless possibilities, not all videos align with educational goals. Teachers face the critical task of curating content that is not only engaging but also pedagogically relevant (Alqahtani, 2023). The effectiveness of audio visual media in education depends not only on the availability of the technology but also on the ability of teachers to integrate it strategically into their lessons. Without careful planning, YouTube risks becoming more of a distraction than a meaningful learning tool.</w:t>
      </w:r>
      <w:r w:rsidR="001D70BC">
        <w:rPr>
          <w:sz w:val="22"/>
          <w:szCs w:val="22"/>
        </w:rPr>
        <w:t xml:space="preserve"> </w:t>
      </w:r>
      <w:r w:rsidRPr="00A1223B">
        <w:rPr>
          <w:sz w:val="22"/>
          <w:szCs w:val="22"/>
        </w:rPr>
        <w:t>From a pedagogical perspective, audio visual media offers more than just knowledge transfer. It supports the development of critical thinking and emotional engagement. Narrative texts, the focus of this study, are not only stories but also rich resources of moral lessons, cultural values, and human experiences. Research shows that combining narratives with visual and auditory elements enhances comprehension and improves retention, allowing students to connect both cognitively and emotionally with the material (Martha Suri et al., 2021). Through this immersive process, learners not only understand the storyline but also reflect on the deeper messages conveyed.</w:t>
      </w:r>
    </w:p>
    <w:p w14:paraId="2EA50273" w14:textId="608DF07F" w:rsidR="0017726E" w:rsidRPr="00A1223B" w:rsidRDefault="00000000" w:rsidP="001D70BC">
      <w:pPr>
        <w:shd w:val="clear" w:color="auto" w:fill="FFFFFF"/>
        <w:ind w:firstLine="567"/>
        <w:jc w:val="both"/>
        <w:rPr>
          <w:sz w:val="22"/>
          <w:szCs w:val="22"/>
        </w:rPr>
      </w:pPr>
      <w:r w:rsidRPr="00A1223B">
        <w:rPr>
          <w:sz w:val="22"/>
          <w:szCs w:val="22"/>
        </w:rPr>
        <w:t>This approach is strongly connected with Bandura’s Social Cognitive Theory, which highlights the importance of learning through observation (Bandura, 1977). By watching videos, students can imitate pronunciation, intonation, and communicative styles modeled by native speakers. Such experiences help them build linguistic competence and self-confidence, making English less intimidating and more accessible.</w:t>
      </w:r>
      <w:r w:rsidR="001D70BC">
        <w:rPr>
          <w:sz w:val="22"/>
          <w:szCs w:val="22"/>
        </w:rPr>
        <w:t xml:space="preserve"> </w:t>
      </w:r>
      <w:r w:rsidRPr="00A1223B">
        <w:rPr>
          <w:sz w:val="22"/>
          <w:szCs w:val="22"/>
        </w:rPr>
        <w:t xml:space="preserve">The context of vocational schools in Surabaya makes this research especially relevant. </w:t>
      </w:r>
      <w:r w:rsidRPr="00A1223B">
        <w:rPr>
          <w:sz w:val="22"/>
          <w:szCs w:val="22"/>
        </w:rPr>
        <w:t>As one of Indonesia’s major urban centers, Surabaya requires a workforce that is not only technically skilled but also proficient in communication. Unfortunately, many vocational students still face obstacles in listening comprehension, such as limited vocabulary, unfamiliar accents, and low motivation for listening activities (Isma, 2020). These difficulties are often compounded by monotonous teaching methods that fail to attract their interest. By incorporating audio visual resources like YouTube, classrooms can become more vibrant, interactive, and better aligned with the realities of today’s learners.</w:t>
      </w:r>
    </w:p>
    <w:p w14:paraId="5BFF34A8" w14:textId="44F13B50" w:rsidR="0017726E" w:rsidRPr="00A1223B" w:rsidRDefault="00000000" w:rsidP="001D70BC">
      <w:pPr>
        <w:shd w:val="clear" w:color="auto" w:fill="FFFFFF"/>
        <w:ind w:firstLine="567"/>
        <w:jc w:val="both"/>
        <w:rPr>
          <w:sz w:val="22"/>
          <w:szCs w:val="22"/>
        </w:rPr>
      </w:pPr>
      <w:r w:rsidRPr="00A1223B">
        <w:rPr>
          <w:sz w:val="22"/>
          <w:szCs w:val="22"/>
        </w:rPr>
        <w:t>This study seeks to address these challenges by examining how audio visual media, particularly YouTube, influences students’ comprehension of narrative texts. It does not merely aim to measure improvements in test scores but also explores how such media can help learners decode story structures, interpret meanings, and appreciate the moral lessons embedded in the texts. By doing so, the research contributes both practical insights and academic value to the field of language education.</w:t>
      </w:r>
      <w:r w:rsidR="001D70BC">
        <w:rPr>
          <w:sz w:val="22"/>
          <w:szCs w:val="22"/>
        </w:rPr>
        <w:t xml:space="preserve"> </w:t>
      </w:r>
      <w:r w:rsidRPr="00A1223B">
        <w:rPr>
          <w:sz w:val="22"/>
          <w:szCs w:val="22"/>
        </w:rPr>
        <w:t>Ultimately, this study is designed not only to enrich scholarly discussion but also to offer real solutions for teachers in vocational schools. The integration of audio visual resources has the potential to transform listening comprehension activities from routine drills into engaging experiences that inspire curiosity and creativity. In this way, students learn English not as a burdensome requirement but as an essential skill for professional growth and meaningful participation in the global community.</w:t>
      </w:r>
    </w:p>
    <w:p w14:paraId="6893F01D" w14:textId="77777777" w:rsidR="0017726E" w:rsidRPr="00A1223B" w:rsidRDefault="0017726E" w:rsidP="00A1223B">
      <w:pPr>
        <w:shd w:val="clear" w:color="auto" w:fill="FFFFFF"/>
        <w:jc w:val="both"/>
        <w:rPr>
          <w:sz w:val="22"/>
          <w:szCs w:val="22"/>
        </w:rPr>
      </w:pPr>
    </w:p>
    <w:p w14:paraId="0E6F75A2" w14:textId="77777777" w:rsidR="0017726E" w:rsidRPr="00A1223B" w:rsidRDefault="00000000" w:rsidP="00A1223B">
      <w:pPr>
        <w:shd w:val="clear" w:color="auto" w:fill="FFFFFF"/>
        <w:jc w:val="both"/>
        <w:rPr>
          <w:b/>
          <w:color w:val="000000"/>
          <w:sz w:val="22"/>
          <w:szCs w:val="22"/>
        </w:rPr>
      </w:pPr>
      <w:r w:rsidRPr="00A1223B">
        <w:rPr>
          <w:b/>
          <w:color w:val="000000"/>
          <w:sz w:val="22"/>
          <w:szCs w:val="22"/>
        </w:rPr>
        <w:t>METHODS</w:t>
      </w:r>
    </w:p>
    <w:p w14:paraId="65008D4F" w14:textId="77777777" w:rsidR="0017726E" w:rsidRPr="00A1223B" w:rsidRDefault="0017726E" w:rsidP="00A1223B">
      <w:pPr>
        <w:shd w:val="clear" w:color="auto" w:fill="FFFFFF"/>
        <w:jc w:val="both"/>
        <w:rPr>
          <w:b/>
          <w:color w:val="000000"/>
          <w:sz w:val="22"/>
          <w:szCs w:val="22"/>
        </w:rPr>
      </w:pPr>
    </w:p>
    <w:p w14:paraId="6139F826" w14:textId="77777777" w:rsidR="0017726E" w:rsidRPr="00A1223B" w:rsidRDefault="00000000" w:rsidP="00A1223B">
      <w:pPr>
        <w:shd w:val="clear" w:color="auto" w:fill="FFFFFF"/>
        <w:ind w:firstLine="709"/>
        <w:jc w:val="both"/>
        <w:rPr>
          <w:color w:val="000000"/>
          <w:sz w:val="22"/>
          <w:szCs w:val="22"/>
        </w:rPr>
      </w:pPr>
      <w:r w:rsidRPr="00A1223B">
        <w:rPr>
          <w:color w:val="000000"/>
          <w:sz w:val="22"/>
          <w:szCs w:val="22"/>
        </w:rPr>
        <w:t xml:space="preserve">This research adopts a quantitative approach that treats numbers not as rigid data but as narratives waiting to be uncovered. By relying on measurable evidence and structured statistical analysis, the study seeks to examine the relationship between variables and assess the real impact of audio-visual learning on students’ listening comprehension. The design employed is a quasi-experimental model with a pre-test and post-test structure, which is considered suitable when randomization is not feasible in real classroom settings (Creswell, 2012). Two eleventh-grade classes were selected as the sample: one as the experimental group exposed to audio-visual media and the other as the control </w:t>
      </w:r>
      <w:r w:rsidRPr="00A1223B">
        <w:rPr>
          <w:color w:val="000000"/>
          <w:sz w:val="22"/>
          <w:szCs w:val="22"/>
        </w:rPr>
        <w:lastRenderedPageBreak/>
        <w:t>group that continued learning without such intervention. This design created a balanced stage to capture the shifts in comprehension that occurred after the treatment.</w:t>
      </w:r>
    </w:p>
    <w:p w14:paraId="07F1AB97" w14:textId="77777777" w:rsidR="0017726E" w:rsidRPr="00A1223B" w:rsidRDefault="00000000" w:rsidP="00A1223B">
      <w:pPr>
        <w:shd w:val="clear" w:color="auto" w:fill="FFFFFF"/>
        <w:ind w:firstLine="709"/>
        <w:jc w:val="both"/>
        <w:rPr>
          <w:color w:val="000000"/>
          <w:sz w:val="22"/>
          <w:szCs w:val="22"/>
        </w:rPr>
      </w:pPr>
      <w:r w:rsidRPr="00A1223B">
        <w:rPr>
          <w:color w:val="000000"/>
          <w:sz w:val="22"/>
          <w:szCs w:val="22"/>
        </w:rPr>
        <w:t>The study was carried out at a prominent vocational school in Surabaya, East Java, a school recognized for its academic quality and vibrant learning atmosphere. The participants were eleventh-grade students who were learning narrative texts during the semester. Listening comprehension was chosen as the focal skill because it is essential for building other language abilities and forms the foundation for effective communication (Karimova et al., 2020). From a population of eleven classes, each averaging 35 students, two classes were chosen as the sample, ensuring the research remained practical while still representing the larger group (Sugiyono, 2011).</w:t>
      </w:r>
    </w:p>
    <w:p w14:paraId="5D5074E7" w14:textId="77777777" w:rsidR="0017726E" w:rsidRPr="00A1223B" w:rsidRDefault="00000000" w:rsidP="00A1223B">
      <w:pPr>
        <w:shd w:val="clear" w:color="auto" w:fill="FFFFFF"/>
        <w:ind w:firstLine="709"/>
        <w:jc w:val="both"/>
        <w:rPr>
          <w:color w:val="000000"/>
          <w:sz w:val="22"/>
          <w:szCs w:val="22"/>
        </w:rPr>
      </w:pPr>
      <w:r w:rsidRPr="00A1223B">
        <w:rPr>
          <w:color w:val="000000"/>
          <w:sz w:val="22"/>
          <w:szCs w:val="22"/>
        </w:rPr>
        <w:t>Data were collected through three phases. First, both groups took a pre-test of ten multiple-choice questions to measure their initial listening ability. Then, the experimental group received treatment through a YouTube video of the fairy tale Pinocchio, which encouraged students not only to watch but also to extract moral lessons, follow narrative structures, and expand vocabulary. Finally, both groups completed a post-test designed in a similar format to determine differences in performance after the treatment.</w:t>
      </w:r>
    </w:p>
    <w:p w14:paraId="532B78AB" w14:textId="3271C0C6" w:rsidR="0017726E" w:rsidRPr="00A1223B" w:rsidRDefault="00000000" w:rsidP="00A1223B">
      <w:pPr>
        <w:shd w:val="clear" w:color="auto" w:fill="FFFFFF"/>
        <w:ind w:firstLine="709"/>
        <w:jc w:val="both"/>
        <w:rPr>
          <w:b/>
          <w:color w:val="000000"/>
          <w:sz w:val="22"/>
          <w:szCs w:val="22"/>
        </w:rPr>
      </w:pPr>
      <w:r w:rsidRPr="00A1223B">
        <w:rPr>
          <w:color w:val="000000"/>
          <w:sz w:val="22"/>
          <w:szCs w:val="22"/>
        </w:rPr>
        <w:t>The data from the pre-tests and post-tests were analyzed using SPSS through descriptive statistics. The analysis involved calculating scores, averages, standard deviations, and the percentage of improvement to reveal the influence of video-based media. To guarantee the trustworthiness of the instruments, validity and reliability checks were conducted. Construct validity ensured the test measured listening comprehension as intended (Creswell, 2012), while reliability was assessed using Cronbach Alpha, which confirmed the instrument’s consistency and stability (Livingston, 2018). Through this carefully structured methodology, the study provides a clear portrayal of how audio-visual media can serve as an effective bridge in enhancing students’ understanding of narrative texts in English</w:t>
      </w:r>
      <w:r w:rsidRPr="00A1223B">
        <w:rPr>
          <w:b/>
          <w:color w:val="000000"/>
          <w:sz w:val="22"/>
          <w:szCs w:val="22"/>
        </w:rPr>
        <w:t>.</w:t>
      </w:r>
    </w:p>
    <w:p w14:paraId="1B5CB6ED" w14:textId="77777777" w:rsidR="00CF58E9" w:rsidRDefault="00CF58E9" w:rsidP="00A1223B">
      <w:pPr>
        <w:shd w:val="clear" w:color="auto" w:fill="FFFFFF"/>
        <w:ind w:firstLine="709"/>
        <w:jc w:val="both"/>
        <w:rPr>
          <w:b/>
          <w:color w:val="000000"/>
          <w:sz w:val="22"/>
          <w:szCs w:val="22"/>
        </w:rPr>
      </w:pPr>
    </w:p>
    <w:p w14:paraId="59DBB720" w14:textId="77777777" w:rsidR="00B66421" w:rsidRDefault="00B66421" w:rsidP="00A1223B">
      <w:pPr>
        <w:shd w:val="clear" w:color="auto" w:fill="FFFFFF"/>
        <w:ind w:firstLine="709"/>
        <w:jc w:val="both"/>
        <w:rPr>
          <w:b/>
          <w:color w:val="000000"/>
          <w:sz w:val="22"/>
          <w:szCs w:val="22"/>
        </w:rPr>
      </w:pPr>
    </w:p>
    <w:p w14:paraId="5B27AC76" w14:textId="77777777" w:rsidR="00B66421" w:rsidRDefault="00B66421" w:rsidP="00A1223B">
      <w:pPr>
        <w:shd w:val="clear" w:color="auto" w:fill="FFFFFF"/>
        <w:ind w:firstLine="709"/>
        <w:jc w:val="both"/>
        <w:rPr>
          <w:b/>
          <w:color w:val="000000"/>
          <w:sz w:val="22"/>
          <w:szCs w:val="22"/>
        </w:rPr>
      </w:pPr>
    </w:p>
    <w:p w14:paraId="324A5C35" w14:textId="77777777" w:rsidR="0093328F" w:rsidRDefault="0093328F" w:rsidP="00A1223B">
      <w:pPr>
        <w:shd w:val="clear" w:color="auto" w:fill="FFFFFF"/>
        <w:ind w:firstLine="709"/>
        <w:jc w:val="both"/>
        <w:rPr>
          <w:b/>
          <w:color w:val="000000"/>
          <w:sz w:val="22"/>
          <w:szCs w:val="22"/>
        </w:rPr>
      </w:pPr>
    </w:p>
    <w:p w14:paraId="0AFDA8B3" w14:textId="77777777" w:rsidR="0093328F" w:rsidRPr="00A1223B" w:rsidRDefault="0093328F" w:rsidP="00A1223B">
      <w:pPr>
        <w:shd w:val="clear" w:color="auto" w:fill="FFFFFF"/>
        <w:ind w:firstLine="709"/>
        <w:jc w:val="both"/>
        <w:rPr>
          <w:b/>
          <w:color w:val="000000"/>
          <w:sz w:val="22"/>
          <w:szCs w:val="22"/>
        </w:rPr>
      </w:pPr>
    </w:p>
    <w:p w14:paraId="45C11495" w14:textId="77777777" w:rsidR="0017726E" w:rsidRPr="00A1223B" w:rsidRDefault="00000000" w:rsidP="00A1223B">
      <w:pPr>
        <w:shd w:val="clear" w:color="auto" w:fill="FFFFFF"/>
        <w:jc w:val="both"/>
        <w:rPr>
          <w:b/>
          <w:color w:val="000000"/>
          <w:sz w:val="22"/>
          <w:szCs w:val="22"/>
        </w:rPr>
      </w:pPr>
      <w:r w:rsidRPr="00A1223B">
        <w:rPr>
          <w:b/>
          <w:color w:val="000000"/>
          <w:sz w:val="22"/>
          <w:szCs w:val="22"/>
        </w:rPr>
        <w:t xml:space="preserve">FINDINGS AND DISCUSSION </w:t>
      </w:r>
    </w:p>
    <w:p w14:paraId="1B3F7784" w14:textId="77777777" w:rsidR="0017726E" w:rsidRPr="00A1223B" w:rsidRDefault="00000000" w:rsidP="00A1223B">
      <w:pPr>
        <w:shd w:val="clear" w:color="auto" w:fill="FFFFFF"/>
        <w:jc w:val="both"/>
        <w:rPr>
          <w:b/>
          <w:color w:val="000000"/>
          <w:sz w:val="22"/>
          <w:szCs w:val="22"/>
        </w:rPr>
      </w:pPr>
      <w:r w:rsidRPr="00A1223B">
        <w:rPr>
          <w:b/>
          <w:color w:val="000000"/>
          <w:sz w:val="22"/>
          <w:szCs w:val="22"/>
        </w:rPr>
        <w:t xml:space="preserve"> </w:t>
      </w:r>
    </w:p>
    <w:p w14:paraId="6CD8BF31" w14:textId="77777777" w:rsidR="0017726E" w:rsidRPr="00A1223B" w:rsidRDefault="00000000" w:rsidP="00A1223B">
      <w:pPr>
        <w:jc w:val="both"/>
        <w:rPr>
          <w:b/>
          <w:sz w:val="22"/>
          <w:szCs w:val="22"/>
        </w:rPr>
      </w:pPr>
      <w:r w:rsidRPr="00A1223B">
        <w:rPr>
          <w:b/>
          <w:sz w:val="22"/>
          <w:szCs w:val="22"/>
        </w:rPr>
        <w:t>Findings</w:t>
      </w:r>
    </w:p>
    <w:p w14:paraId="522BBC80" w14:textId="77777777" w:rsidR="0017726E" w:rsidRPr="00A1223B" w:rsidRDefault="00000000" w:rsidP="00A1223B">
      <w:pPr>
        <w:spacing w:after="160"/>
        <w:ind w:firstLine="720"/>
        <w:jc w:val="both"/>
        <w:rPr>
          <w:sz w:val="22"/>
          <w:szCs w:val="22"/>
        </w:rPr>
      </w:pPr>
      <w:r w:rsidRPr="00A1223B">
        <w:rPr>
          <w:sz w:val="22"/>
          <w:szCs w:val="22"/>
        </w:rPr>
        <w:t>This study was carried out with eleventh-grade students at a Vocational School in Surabaya. Two classes from the same grade level were selected: one served as the experimental group, while the other acted as the control group. The experimental group received a special treatment in the form of lessons delivered through YouTube videos. Before the treatment began, the researcher administered a pre-test. After the lessons using the media were completed, the students took a post-test. The results of both tests were then collected and analyzed.</w:t>
      </w:r>
    </w:p>
    <w:p w14:paraId="72EB6485" w14:textId="77777777" w:rsidR="0017726E" w:rsidRPr="00A1223B" w:rsidRDefault="00000000" w:rsidP="00A1223B">
      <w:pPr>
        <w:jc w:val="both"/>
        <w:rPr>
          <w:b/>
          <w:i/>
          <w:sz w:val="22"/>
          <w:szCs w:val="22"/>
        </w:rPr>
      </w:pPr>
      <w:r w:rsidRPr="00A1223B">
        <w:rPr>
          <w:b/>
          <w:i/>
          <w:sz w:val="22"/>
          <w:szCs w:val="22"/>
        </w:rPr>
        <w:t>The Students’ Listening Comprehension in Pre-test and Post-test</w:t>
      </w:r>
    </w:p>
    <w:p w14:paraId="4B7C4358" w14:textId="77777777" w:rsidR="0017726E" w:rsidRDefault="00000000" w:rsidP="00A1223B">
      <w:pPr>
        <w:ind w:firstLine="567"/>
        <w:jc w:val="both"/>
        <w:rPr>
          <w:sz w:val="22"/>
          <w:szCs w:val="22"/>
        </w:rPr>
      </w:pPr>
      <w:r w:rsidRPr="00A1223B">
        <w:rPr>
          <w:sz w:val="22"/>
          <w:szCs w:val="22"/>
        </w:rPr>
        <w:t>To answer the research question outlined in the opening chapter, the researcher employed a testing procedure. The first test, known as the pre-test, was given before the treatment, while the second test, or post-test, was conducted after the intervention with YouTube videos. The aim of these assessments was to measure students’ listening comprehension and track any improvements after being exposed to the media. One class of eleventh-grade students was chosen to undergo the pre-test. In this stage, they were asked to listen to a narrative passage several times and then answer a set of comprehension questions. During the post-test, the students were given another set of questions designed to measure the progress of their listening skills after the treatment. The scoring focused on two key aspects: accuracy in answering and attention to listening details. Once the results were gathered, the researcher categorized the students’ scores into five levels for further analysis.</w:t>
      </w:r>
    </w:p>
    <w:p w14:paraId="2AB4DC4A" w14:textId="77777777" w:rsidR="00A1223B" w:rsidRPr="00A1223B" w:rsidRDefault="00A1223B" w:rsidP="00A1223B">
      <w:pPr>
        <w:ind w:firstLine="567"/>
        <w:jc w:val="both"/>
        <w:rPr>
          <w:sz w:val="22"/>
          <w:szCs w:val="22"/>
        </w:rPr>
      </w:pPr>
    </w:p>
    <w:p w14:paraId="793058B6" w14:textId="77777777" w:rsidR="0017726E" w:rsidRPr="00A1223B" w:rsidRDefault="00000000" w:rsidP="00A1223B">
      <w:pPr>
        <w:jc w:val="both"/>
        <w:rPr>
          <w:b/>
          <w:i/>
          <w:sz w:val="22"/>
          <w:szCs w:val="22"/>
        </w:rPr>
      </w:pPr>
      <w:r w:rsidRPr="00A1223B">
        <w:rPr>
          <w:b/>
          <w:i/>
          <w:sz w:val="22"/>
          <w:szCs w:val="22"/>
        </w:rPr>
        <w:t>Students’ Listening Comprehension in Listening for Details</w:t>
      </w:r>
    </w:p>
    <w:p w14:paraId="4EC844D6" w14:textId="77777777" w:rsidR="0017726E" w:rsidRPr="00A1223B" w:rsidRDefault="00000000" w:rsidP="00A1223B">
      <w:pPr>
        <w:spacing w:after="160"/>
        <w:jc w:val="both"/>
        <w:rPr>
          <w:sz w:val="22"/>
          <w:szCs w:val="22"/>
        </w:rPr>
      </w:pPr>
      <w:r w:rsidRPr="00A1223B">
        <w:rPr>
          <w:sz w:val="22"/>
          <w:szCs w:val="22"/>
        </w:rPr>
        <w:t>The progress in students’ ability to capture details can be seen clearly in Figure 1. The chart presents the distribution of students across four categories: Very High, High, Low, and Very Low, comparing the outcomes of the pretest and posttest.</w:t>
      </w:r>
    </w:p>
    <w:p w14:paraId="7405B65B" w14:textId="77777777" w:rsidR="0017726E" w:rsidRPr="00A1223B" w:rsidRDefault="00000000" w:rsidP="00A1223B">
      <w:pPr>
        <w:spacing w:after="160"/>
        <w:jc w:val="both"/>
        <w:rPr>
          <w:sz w:val="22"/>
          <w:szCs w:val="22"/>
        </w:rPr>
      </w:pPr>
      <w:r w:rsidRPr="00A1223B">
        <w:rPr>
          <w:b/>
          <w:noProof/>
          <w:sz w:val="22"/>
          <w:szCs w:val="22"/>
        </w:rPr>
        <w:lastRenderedPageBreak/>
        <w:drawing>
          <wp:inline distT="0" distB="0" distL="0" distR="0" wp14:anchorId="3C35FB80" wp14:editId="53DF9971">
            <wp:extent cx="2700000" cy="1799590"/>
            <wp:effectExtent l="0" t="0" r="571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3"/>
                    <a:srcRect r="9386"/>
                    <a:stretch>
                      <a:fillRect/>
                    </a:stretch>
                  </pic:blipFill>
                  <pic:spPr bwMode="auto">
                    <a:xfrm>
                      <a:off x="0" y="0"/>
                      <a:ext cx="2700000" cy="1799590"/>
                    </a:xfrm>
                    <a:prstGeom prst="rect">
                      <a:avLst/>
                    </a:prstGeom>
                    <a:ln>
                      <a:noFill/>
                    </a:ln>
                    <a:extLst>
                      <a:ext uri="{53640926-AAD7-44D8-BBD7-CCE9431645EC}">
                        <a14:shadowObscured xmlns:a14="http://schemas.microsoft.com/office/drawing/2010/main"/>
                      </a:ext>
                    </a:extLst>
                  </pic:spPr>
                </pic:pic>
              </a:graphicData>
            </a:graphic>
          </wp:inline>
        </w:drawing>
      </w:r>
    </w:p>
    <w:p w14:paraId="1A31C17D" w14:textId="154B11A5" w:rsidR="0017726E" w:rsidRDefault="00000000" w:rsidP="00A1223B">
      <w:pPr>
        <w:jc w:val="both"/>
        <w:rPr>
          <w:bCs/>
          <w:sz w:val="20"/>
          <w:szCs w:val="20"/>
        </w:rPr>
      </w:pPr>
      <w:r w:rsidRPr="00A1223B">
        <w:rPr>
          <w:b/>
          <w:sz w:val="20"/>
          <w:szCs w:val="20"/>
        </w:rPr>
        <w:t>Figure 1</w:t>
      </w:r>
      <w:r w:rsidR="00A1223B" w:rsidRPr="00A1223B">
        <w:rPr>
          <w:b/>
          <w:sz w:val="20"/>
          <w:szCs w:val="20"/>
        </w:rPr>
        <w:t>.</w:t>
      </w:r>
      <w:r w:rsidRPr="00A1223B">
        <w:rPr>
          <w:b/>
          <w:sz w:val="20"/>
          <w:szCs w:val="20"/>
        </w:rPr>
        <w:t xml:space="preserve"> </w:t>
      </w:r>
      <w:r w:rsidRPr="00A1223B">
        <w:rPr>
          <w:bCs/>
          <w:sz w:val="20"/>
          <w:szCs w:val="20"/>
        </w:rPr>
        <w:t>Experimental Class Classification in Listening for Details</w:t>
      </w:r>
    </w:p>
    <w:p w14:paraId="361729CE" w14:textId="77777777" w:rsidR="00A1223B" w:rsidRPr="00A1223B" w:rsidRDefault="00A1223B" w:rsidP="00A1223B">
      <w:pPr>
        <w:jc w:val="both"/>
        <w:rPr>
          <w:sz w:val="20"/>
          <w:szCs w:val="20"/>
        </w:rPr>
      </w:pPr>
    </w:p>
    <w:p w14:paraId="01D898C7" w14:textId="77777777" w:rsidR="0017726E" w:rsidRDefault="00000000" w:rsidP="00A1223B">
      <w:pPr>
        <w:ind w:firstLine="567"/>
        <w:jc w:val="both"/>
        <w:rPr>
          <w:sz w:val="22"/>
          <w:szCs w:val="22"/>
        </w:rPr>
      </w:pPr>
      <w:r w:rsidRPr="00A1223B">
        <w:rPr>
          <w:sz w:val="22"/>
          <w:szCs w:val="22"/>
        </w:rPr>
        <w:t>In Figure 1, the blue bars represent the pretest results and show that most students were concentrated in the Low and Very Low categories, with none reaching the Very High level. After the treatment, the red bars of the posttest reveal a remarkable transformation. A significant number of students moved into the Very High and High categories, while the Low and Very Low groups became smaller. This visual evidence strongly confirms that using YouTube videos had a positive impact on the students’ listening for details skills.</w:t>
      </w:r>
    </w:p>
    <w:p w14:paraId="598DECA1" w14:textId="77777777" w:rsidR="00A1223B" w:rsidRPr="00A1223B" w:rsidRDefault="00A1223B" w:rsidP="00A1223B">
      <w:pPr>
        <w:ind w:firstLine="567"/>
        <w:jc w:val="both"/>
        <w:rPr>
          <w:sz w:val="22"/>
          <w:szCs w:val="22"/>
        </w:rPr>
      </w:pPr>
    </w:p>
    <w:p w14:paraId="6D69BEE4" w14:textId="77777777" w:rsidR="0017726E" w:rsidRPr="00A1223B" w:rsidRDefault="00000000" w:rsidP="00A1223B">
      <w:pPr>
        <w:jc w:val="both"/>
        <w:rPr>
          <w:sz w:val="22"/>
          <w:szCs w:val="22"/>
        </w:rPr>
      </w:pPr>
      <w:r w:rsidRPr="00A1223B">
        <w:rPr>
          <w:sz w:val="22"/>
          <w:szCs w:val="22"/>
        </w:rPr>
        <w:t>The performance of the control class is illustrated in Figure 2.</w:t>
      </w:r>
    </w:p>
    <w:p w14:paraId="0CCD1E4E" w14:textId="77777777" w:rsidR="0017726E" w:rsidRPr="00A1223B" w:rsidRDefault="0017726E" w:rsidP="00A1223B">
      <w:pPr>
        <w:spacing w:after="160"/>
        <w:jc w:val="both"/>
        <w:rPr>
          <w:b/>
          <w:sz w:val="22"/>
          <w:szCs w:val="22"/>
        </w:rPr>
      </w:pPr>
    </w:p>
    <w:p w14:paraId="341048EA" w14:textId="77777777" w:rsidR="0017726E" w:rsidRPr="00A1223B" w:rsidRDefault="00000000" w:rsidP="00A1223B">
      <w:pPr>
        <w:jc w:val="both"/>
        <w:rPr>
          <w:sz w:val="22"/>
          <w:szCs w:val="22"/>
        </w:rPr>
      </w:pPr>
      <w:r w:rsidRPr="00A1223B">
        <w:rPr>
          <w:b/>
          <w:noProof/>
          <w:sz w:val="22"/>
          <w:szCs w:val="22"/>
        </w:rPr>
        <w:drawing>
          <wp:inline distT="0" distB="0" distL="0" distR="0" wp14:anchorId="19AF9809" wp14:editId="1F107F66">
            <wp:extent cx="2700000" cy="1692000"/>
            <wp:effectExtent l="0" t="0" r="5715" b="381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1482" r="13510"/>
                    <a:stretch>
                      <a:fillRect/>
                    </a:stretch>
                  </pic:blipFill>
                  <pic:spPr>
                    <a:xfrm>
                      <a:off x="0" y="0"/>
                      <a:ext cx="2700000" cy="1692000"/>
                    </a:xfrm>
                    <a:prstGeom prst="rect">
                      <a:avLst/>
                    </a:prstGeom>
                    <a:ln/>
                  </pic:spPr>
                </pic:pic>
              </a:graphicData>
            </a:graphic>
          </wp:inline>
        </w:drawing>
      </w:r>
    </w:p>
    <w:p w14:paraId="6FCA03C9" w14:textId="0472E908" w:rsidR="0017726E" w:rsidRDefault="00000000" w:rsidP="00A1223B">
      <w:pPr>
        <w:jc w:val="both"/>
        <w:rPr>
          <w:bCs/>
          <w:sz w:val="20"/>
          <w:szCs w:val="20"/>
        </w:rPr>
      </w:pPr>
      <w:r w:rsidRPr="00A1223B">
        <w:rPr>
          <w:b/>
          <w:sz w:val="20"/>
          <w:szCs w:val="20"/>
        </w:rPr>
        <w:t>Figure 2</w:t>
      </w:r>
      <w:r w:rsidR="00A1223B" w:rsidRPr="00A1223B">
        <w:rPr>
          <w:b/>
          <w:sz w:val="20"/>
          <w:szCs w:val="20"/>
        </w:rPr>
        <w:t>.</w:t>
      </w:r>
      <w:r w:rsidRPr="00A1223B">
        <w:rPr>
          <w:b/>
          <w:sz w:val="20"/>
          <w:szCs w:val="20"/>
        </w:rPr>
        <w:t xml:space="preserve"> </w:t>
      </w:r>
      <w:r w:rsidRPr="00A1223B">
        <w:rPr>
          <w:bCs/>
          <w:sz w:val="20"/>
          <w:szCs w:val="20"/>
        </w:rPr>
        <w:t>Control Class Classification in Listening for Details</w:t>
      </w:r>
    </w:p>
    <w:p w14:paraId="2BE51A62" w14:textId="77777777" w:rsidR="00A1223B" w:rsidRPr="00A1223B" w:rsidRDefault="00A1223B" w:rsidP="00A1223B">
      <w:pPr>
        <w:jc w:val="both"/>
        <w:rPr>
          <w:bCs/>
          <w:sz w:val="20"/>
          <w:szCs w:val="20"/>
        </w:rPr>
      </w:pPr>
    </w:p>
    <w:p w14:paraId="34001A80" w14:textId="77777777" w:rsidR="0017726E" w:rsidRDefault="00000000" w:rsidP="00A1223B">
      <w:pPr>
        <w:jc w:val="both"/>
        <w:rPr>
          <w:sz w:val="22"/>
          <w:szCs w:val="22"/>
        </w:rPr>
      </w:pPr>
      <w:r w:rsidRPr="00A1223B">
        <w:rPr>
          <w:sz w:val="22"/>
          <w:szCs w:val="22"/>
        </w:rPr>
        <w:t xml:space="preserve">As shown in Figure 2, the control class also experienced some improvement, yet the changes were not as striking as those in the experimental class. More students managed to reach the High and Very High categories, but the shift was relatively modest. This comparison highlights </w:t>
      </w:r>
      <w:r w:rsidRPr="00A1223B">
        <w:rPr>
          <w:sz w:val="22"/>
          <w:szCs w:val="22"/>
        </w:rPr>
        <w:t>that the experimental class achieved greater progress, which can be attributed to the use of YouTube videos as an engaging medium in listening activities.</w:t>
      </w:r>
    </w:p>
    <w:p w14:paraId="381F05A6" w14:textId="77777777" w:rsidR="00A1223B" w:rsidRPr="00A1223B" w:rsidRDefault="00A1223B" w:rsidP="00A1223B">
      <w:pPr>
        <w:jc w:val="both"/>
        <w:rPr>
          <w:sz w:val="22"/>
          <w:szCs w:val="22"/>
        </w:rPr>
      </w:pPr>
    </w:p>
    <w:p w14:paraId="03056A4F" w14:textId="77777777" w:rsidR="0017726E" w:rsidRPr="00A1223B" w:rsidRDefault="00000000" w:rsidP="00A1223B">
      <w:pPr>
        <w:jc w:val="both"/>
        <w:rPr>
          <w:b/>
          <w:i/>
          <w:sz w:val="22"/>
          <w:szCs w:val="22"/>
        </w:rPr>
      </w:pPr>
      <w:r w:rsidRPr="00A1223B">
        <w:rPr>
          <w:b/>
          <w:i/>
          <w:sz w:val="22"/>
          <w:szCs w:val="22"/>
        </w:rPr>
        <w:t>Mean Score of Experimental and Control Classes in Listening Comprehension</w:t>
      </w:r>
    </w:p>
    <w:p w14:paraId="01CC08F5" w14:textId="77777777" w:rsidR="0017726E" w:rsidRDefault="00000000" w:rsidP="00A1223B">
      <w:pPr>
        <w:ind w:firstLine="567"/>
        <w:jc w:val="both"/>
        <w:rPr>
          <w:sz w:val="22"/>
          <w:szCs w:val="22"/>
        </w:rPr>
      </w:pPr>
      <w:r w:rsidRPr="00A1223B">
        <w:rPr>
          <w:sz w:val="22"/>
          <w:szCs w:val="22"/>
        </w:rPr>
        <w:t>The results of the listening comprehension tests for both the experimental and control classes are summarized in Table 1. The table presents the mean scores from the pre-test and post-test along with the percentage of improvement achieved by each group. By examining these figures, it becomes clear how the intervention influenced the performance of the students.</w:t>
      </w:r>
    </w:p>
    <w:p w14:paraId="089C8CE8" w14:textId="77777777" w:rsidR="00A1223B" w:rsidRPr="00A1223B" w:rsidRDefault="00A1223B" w:rsidP="00A1223B">
      <w:pPr>
        <w:ind w:firstLine="567"/>
        <w:jc w:val="both"/>
        <w:rPr>
          <w:sz w:val="22"/>
          <w:szCs w:val="22"/>
        </w:rPr>
      </w:pPr>
    </w:p>
    <w:p w14:paraId="0B805196" w14:textId="77777777" w:rsidR="0017726E" w:rsidRPr="00A1223B" w:rsidRDefault="00000000" w:rsidP="00A1223B">
      <w:pPr>
        <w:spacing w:line="276" w:lineRule="auto"/>
        <w:jc w:val="both"/>
        <w:rPr>
          <w:sz w:val="20"/>
          <w:szCs w:val="20"/>
        </w:rPr>
      </w:pPr>
      <w:r w:rsidRPr="00A1223B">
        <w:rPr>
          <w:b/>
          <w:sz w:val="20"/>
          <w:szCs w:val="20"/>
        </w:rPr>
        <w:t xml:space="preserve">Table 1. </w:t>
      </w:r>
      <w:r w:rsidRPr="00A1223B">
        <w:rPr>
          <w:bCs/>
          <w:sz w:val="20"/>
          <w:szCs w:val="20"/>
        </w:rPr>
        <w:t>Mean Score of Experimental and Control Classes</w:t>
      </w:r>
    </w:p>
    <w:tbl>
      <w:tblPr>
        <w:tblStyle w:val="a0"/>
        <w:tblW w:w="4253" w:type="dxa"/>
        <w:tblInd w:w="0" w:type="dxa"/>
        <w:tblBorders>
          <w:top w:val="single" w:sz="8" w:space="0" w:color="000000"/>
          <w:bottom w:val="single" w:sz="8" w:space="0" w:color="000000"/>
        </w:tblBorders>
        <w:tblLayout w:type="fixed"/>
        <w:tblLook w:val="04A0" w:firstRow="1" w:lastRow="0" w:firstColumn="1" w:lastColumn="0" w:noHBand="0" w:noVBand="1"/>
      </w:tblPr>
      <w:tblGrid>
        <w:gridCol w:w="1418"/>
        <w:gridCol w:w="709"/>
        <w:gridCol w:w="708"/>
        <w:gridCol w:w="1418"/>
      </w:tblGrid>
      <w:tr w:rsidR="0017726E" w:rsidRPr="00A1223B" w14:paraId="34A4E55C" w14:textId="77777777" w:rsidTr="00A12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4C6A2E8" w14:textId="77777777" w:rsidR="0017726E" w:rsidRPr="00A1223B" w:rsidRDefault="00000000" w:rsidP="00A1223B">
            <w:pPr>
              <w:jc w:val="both"/>
              <w:rPr>
                <w:rFonts w:ascii="Times New Roman" w:hAnsi="Times New Roman" w:cs="Times New Roman"/>
                <w:sz w:val="20"/>
                <w:szCs w:val="20"/>
              </w:rPr>
            </w:pPr>
            <w:r w:rsidRPr="00A1223B">
              <w:rPr>
                <w:rFonts w:ascii="Times New Roman" w:hAnsi="Times New Roman" w:cs="Times New Roman"/>
                <w:sz w:val="20"/>
                <w:szCs w:val="20"/>
              </w:rPr>
              <w:t>Class</w:t>
            </w:r>
          </w:p>
        </w:tc>
        <w:tc>
          <w:tcPr>
            <w:tcW w:w="709" w:type="dxa"/>
          </w:tcPr>
          <w:p w14:paraId="63647211" w14:textId="77777777" w:rsidR="0017726E" w:rsidRPr="00A1223B"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Pre-test (X1)</w:t>
            </w:r>
          </w:p>
        </w:tc>
        <w:tc>
          <w:tcPr>
            <w:tcW w:w="708" w:type="dxa"/>
          </w:tcPr>
          <w:p w14:paraId="1F78F15C" w14:textId="77777777" w:rsidR="0017726E" w:rsidRPr="00A1223B"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Post-test (X2)</w:t>
            </w:r>
          </w:p>
        </w:tc>
        <w:tc>
          <w:tcPr>
            <w:tcW w:w="1418" w:type="dxa"/>
          </w:tcPr>
          <w:p w14:paraId="7DD02192" w14:textId="77777777" w:rsidR="0017726E" w:rsidRPr="00A1223B"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Improvement (%)</w:t>
            </w:r>
          </w:p>
        </w:tc>
      </w:tr>
      <w:tr w:rsidR="0017726E" w:rsidRPr="00A1223B" w14:paraId="648BBF40" w14:textId="77777777" w:rsidTr="00A12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4FFD60F" w14:textId="77777777" w:rsidR="0017726E" w:rsidRPr="00A1223B" w:rsidRDefault="00000000" w:rsidP="00A1223B">
            <w:pPr>
              <w:jc w:val="both"/>
              <w:rPr>
                <w:rFonts w:ascii="Times New Roman" w:hAnsi="Times New Roman" w:cs="Times New Roman"/>
                <w:sz w:val="20"/>
                <w:szCs w:val="20"/>
              </w:rPr>
            </w:pPr>
            <w:r w:rsidRPr="00A1223B">
              <w:rPr>
                <w:rFonts w:ascii="Times New Roman" w:hAnsi="Times New Roman" w:cs="Times New Roman"/>
                <w:sz w:val="20"/>
                <w:szCs w:val="20"/>
              </w:rPr>
              <w:t>Experimental Class</w:t>
            </w:r>
          </w:p>
        </w:tc>
        <w:tc>
          <w:tcPr>
            <w:tcW w:w="709" w:type="dxa"/>
            <w:shd w:val="clear" w:color="auto" w:fill="auto"/>
          </w:tcPr>
          <w:p w14:paraId="55C3DCE8"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42.57</w:t>
            </w:r>
          </w:p>
        </w:tc>
        <w:tc>
          <w:tcPr>
            <w:tcW w:w="708" w:type="dxa"/>
            <w:shd w:val="clear" w:color="auto" w:fill="auto"/>
          </w:tcPr>
          <w:p w14:paraId="55FE99DB"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68.57</w:t>
            </w:r>
          </w:p>
        </w:tc>
        <w:tc>
          <w:tcPr>
            <w:tcW w:w="1418" w:type="dxa"/>
            <w:shd w:val="clear" w:color="auto" w:fill="auto"/>
          </w:tcPr>
          <w:p w14:paraId="23613DC7"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61</w:t>
            </w:r>
          </w:p>
        </w:tc>
      </w:tr>
      <w:tr w:rsidR="0017726E" w:rsidRPr="00A1223B" w14:paraId="0DCCECCE" w14:textId="77777777" w:rsidTr="00A1223B">
        <w:tc>
          <w:tcPr>
            <w:cnfStyle w:val="001000000000" w:firstRow="0" w:lastRow="0" w:firstColumn="1" w:lastColumn="0" w:oddVBand="0" w:evenVBand="0" w:oddHBand="0" w:evenHBand="0" w:firstRowFirstColumn="0" w:firstRowLastColumn="0" w:lastRowFirstColumn="0" w:lastRowLastColumn="0"/>
            <w:tcW w:w="1418" w:type="dxa"/>
          </w:tcPr>
          <w:p w14:paraId="6034F0C9" w14:textId="77777777" w:rsidR="0017726E" w:rsidRPr="00A1223B" w:rsidRDefault="00000000" w:rsidP="00A1223B">
            <w:pPr>
              <w:jc w:val="both"/>
              <w:rPr>
                <w:rFonts w:ascii="Times New Roman" w:hAnsi="Times New Roman" w:cs="Times New Roman"/>
                <w:sz w:val="20"/>
                <w:szCs w:val="20"/>
              </w:rPr>
            </w:pPr>
            <w:r w:rsidRPr="00A1223B">
              <w:rPr>
                <w:rFonts w:ascii="Times New Roman" w:hAnsi="Times New Roman" w:cs="Times New Roman"/>
                <w:sz w:val="20"/>
                <w:szCs w:val="20"/>
              </w:rPr>
              <w:t>Control Class</w:t>
            </w:r>
          </w:p>
        </w:tc>
        <w:tc>
          <w:tcPr>
            <w:tcW w:w="709" w:type="dxa"/>
          </w:tcPr>
          <w:p w14:paraId="6A06367E" w14:textId="77777777" w:rsidR="0017726E" w:rsidRPr="00A1223B"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47.43</w:t>
            </w:r>
          </w:p>
        </w:tc>
        <w:tc>
          <w:tcPr>
            <w:tcW w:w="708" w:type="dxa"/>
          </w:tcPr>
          <w:p w14:paraId="0B657A0F" w14:textId="77777777" w:rsidR="0017726E" w:rsidRPr="00A1223B"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71.14</w:t>
            </w:r>
          </w:p>
        </w:tc>
        <w:tc>
          <w:tcPr>
            <w:tcW w:w="1418" w:type="dxa"/>
          </w:tcPr>
          <w:p w14:paraId="4F0855B5" w14:textId="77777777" w:rsidR="0017726E" w:rsidRPr="00A1223B"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1223B">
              <w:rPr>
                <w:rFonts w:ascii="Times New Roman" w:hAnsi="Times New Roman" w:cs="Times New Roman"/>
                <w:sz w:val="20"/>
                <w:szCs w:val="20"/>
              </w:rPr>
              <w:t>50</w:t>
            </w:r>
          </w:p>
        </w:tc>
      </w:tr>
    </w:tbl>
    <w:p w14:paraId="165F87B7" w14:textId="77777777" w:rsidR="0093328F" w:rsidRDefault="0093328F" w:rsidP="00A1223B">
      <w:pPr>
        <w:ind w:firstLine="567"/>
        <w:jc w:val="both"/>
        <w:rPr>
          <w:sz w:val="22"/>
          <w:szCs w:val="22"/>
        </w:rPr>
      </w:pPr>
    </w:p>
    <w:p w14:paraId="254CE9A7" w14:textId="403D9A91" w:rsidR="0017726E" w:rsidRDefault="00000000" w:rsidP="00A1223B">
      <w:pPr>
        <w:ind w:firstLine="567"/>
        <w:jc w:val="both"/>
        <w:rPr>
          <w:sz w:val="22"/>
          <w:szCs w:val="22"/>
        </w:rPr>
      </w:pPr>
      <w:r w:rsidRPr="00A1223B">
        <w:rPr>
          <w:sz w:val="22"/>
          <w:szCs w:val="22"/>
        </w:rPr>
        <w:t>As shown in Table 1, the experimental class initially recorded a mean score of 42.57 in the pre-test. After receiving the treatment, their score increased to 68.57, which represents an impressive improvement of 61 percent. The control class, meanwhile, achieved a higher pre-test score of 47.43 and reached 71.14 in the post-test, resulting in an overall improvement of 50 percent. These findings indicate that although the control class consistently obtained higher absolute scores, the experimental class experienced a greater rate of progress. This stronger improvement suggests that the strategies implemented in the experimental group successfully enhanced students’ listening comprehension ability.</w:t>
      </w:r>
    </w:p>
    <w:p w14:paraId="66C8FA63" w14:textId="77777777" w:rsidR="00A1223B" w:rsidRPr="00A1223B" w:rsidRDefault="00A1223B" w:rsidP="00A1223B">
      <w:pPr>
        <w:ind w:firstLine="567"/>
        <w:jc w:val="both"/>
        <w:rPr>
          <w:sz w:val="22"/>
          <w:szCs w:val="22"/>
        </w:rPr>
      </w:pPr>
    </w:p>
    <w:p w14:paraId="12AC61D8" w14:textId="77777777" w:rsidR="0017726E" w:rsidRPr="00A1223B" w:rsidRDefault="00000000" w:rsidP="00A1223B">
      <w:pPr>
        <w:jc w:val="both"/>
        <w:rPr>
          <w:b/>
          <w:i/>
          <w:sz w:val="22"/>
          <w:szCs w:val="22"/>
        </w:rPr>
      </w:pPr>
      <w:r w:rsidRPr="00A1223B">
        <w:rPr>
          <w:b/>
          <w:i/>
          <w:sz w:val="22"/>
          <w:szCs w:val="22"/>
        </w:rPr>
        <w:t>Descriptive Statistics between Experimental Class and Control Class</w:t>
      </w:r>
    </w:p>
    <w:p w14:paraId="7A325B74" w14:textId="77777777" w:rsidR="0017726E" w:rsidRDefault="00000000" w:rsidP="00A1223B">
      <w:pPr>
        <w:ind w:firstLine="567"/>
        <w:jc w:val="both"/>
        <w:rPr>
          <w:sz w:val="22"/>
          <w:szCs w:val="22"/>
        </w:rPr>
      </w:pPr>
      <w:r w:rsidRPr="00A1223B">
        <w:rPr>
          <w:sz w:val="22"/>
          <w:szCs w:val="22"/>
        </w:rPr>
        <w:t>The descriptive statistics for the pre-test results of the experimental class are displayed in Table 2. This table presents the range, minimum, maximum, mean, standard deviation, and standard error, giving a complete overview of the students’ initial listening comprehension performance.</w:t>
      </w:r>
    </w:p>
    <w:p w14:paraId="3863DBFA" w14:textId="77777777" w:rsidR="00B66421" w:rsidRDefault="00B66421" w:rsidP="00A1223B">
      <w:pPr>
        <w:ind w:firstLine="567"/>
        <w:jc w:val="both"/>
        <w:rPr>
          <w:sz w:val="22"/>
          <w:szCs w:val="22"/>
        </w:rPr>
        <w:sectPr w:rsidR="00B66421" w:rsidSect="00B66421">
          <w:type w:val="continuous"/>
          <w:pgSz w:w="11907" w:h="16840"/>
          <w:pgMar w:top="1531" w:right="1418" w:bottom="1418" w:left="1418" w:header="851" w:footer="454" w:gutter="0"/>
          <w:pgNumType w:start="3546"/>
          <w:cols w:num="2" w:space="454"/>
          <w:docGrid w:linePitch="326"/>
        </w:sectPr>
      </w:pPr>
    </w:p>
    <w:p w14:paraId="5765D0B6" w14:textId="77777777" w:rsidR="00A1223B" w:rsidRPr="00A1223B" w:rsidRDefault="00A1223B" w:rsidP="00A1223B">
      <w:pPr>
        <w:ind w:firstLine="567"/>
        <w:jc w:val="both"/>
        <w:rPr>
          <w:sz w:val="22"/>
          <w:szCs w:val="22"/>
        </w:rPr>
      </w:pPr>
    </w:p>
    <w:p w14:paraId="42073CC4" w14:textId="77777777" w:rsidR="0093328F" w:rsidRDefault="0093328F" w:rsidP="00A1223B">
      <w:pPr>
        <w:spacing w:line="276" w:lineRule="auto"/>
        <w:jc w:val="center"/>
        <w:rPr>
          <w:b/>
          <w:sz w:val="20"/>
          <w:szCs w:val="20"/>
        </w:rPr>
      </w:pPr>
    </w:p>
    <w:p w14:paraId="2FFDB25E" w14:textId="77777777" w:rsidR="0093328F" w:rsidRDefault="0093328F" w:rsidP="00A1223B">
      <w:pPr>
        <w:spacing w:line="276" w:lineRule="auto"/>
        <w:jc w:val="center"/>
        <w:rPr>
          <w:b/>
          <w:sz w:val="20"/>
          <w:szCs w:val="20"/>
        </w:rPr>
      </w:pPr>
    </w:p>
    <w:p w14:paraId="78EB75FC" w14:textId="2AB2FF6D" w:rsidR="0017726E" w:rsidRPr="00A1223B" w:rsidRDefault="00000000" w:rsidP="00A1223B">
      <w:pPr>
        <w:spacing w:line="276" w:lineRule="auto"/>
        <w:jc w:val="center"/>
        <w:rPr>
          <w:sz w:val="20"/>
          <w:szCs w:val="20"/>
        </w:rPr>
      </w:pPr>
      <w:r w:rsidRPr="00A1223B">
        <w:rPr>
          <w:b/>
          <w:sz w:val="20"/>
          <w:szCs w:val="20"/>
        </w:rPr>
        <w:lastRenderedPageBreak/>
        <w:t xml:space="preserve">Table 2. </w:t>
      </w:r>
      <w:r w:rsidRPr="00A1223B">
        <w:rPr>
          <w:bCs/>
          <w:sz w:val="20"/>
          <w:szCs w:val="20"/>
        </w:rPr>
        <w:t>Descriptive Statistics Pre-test in Experimental Class</w:t>
      </w:r>
    </w:p>
    <w:tbl>
      <w:tblPr>
        <w:tblStyle w:val="a1"/>
        <w:tblW w:w="9214"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1701"/>
        <w:gridCol w:w="1134"/>
        <w:gridCol w:w="993"/>
        <w:gridCol w:w="992"/>
        <w:gridCol w:w="992"/>
        <w:gridCol w:w="992"/>
        <w:gridCol w:w="1134"/>
        <w:gridCol w:w="1276"/>
      </w:tblGrid>
      <w:tr w:rsidR="00A1223B" w:rsidRPr="00A1223B" w14:paraId="0AE8A4DF" w14:textId="77777777" w:rsidTr="00A1223B">
        <w:trPr>
          <w:cnfStyle w:val="100000000000" w:firstRow="1" w:lastRow="0" w:firstColumn="0" w:lastColumn="0" w:oddVBand="0" w:evenVBand="0" w:oddHBand="0"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701" w:type="dxa"/>
          </w:tcPr>
          <w:p w14:paraId="7C1A46B2" w14:textId="77777777" w:rsidR="0017726E" w:rsidRPr="00A1223B" w:rsidRDefault="0017726E" w:rsidP="00A1223B">
            <w:pPr>
              <w:jc w:val="both"/>
              <w:rPr>
                <w:rFonts w:ascii="Times New Roman" w:hAnsi="Times New Roman" w:cs="Times New Roman"/>
                <w:sz w:val="18"/>
                <w:szCs w:val="18"/>
              </w:rPr>
            </w:pPr>
          </w:p>
        </w:tc>
        <w:tc>
          <w:tcPr>
            <w:tcW w:w="1134" w:type="dxa"/>
          </w:tcPr>
          <w:p w14:paraId="17170823" w14:textId="77777777" w:rsidR="0017726E" w:rsidRPr="00A1223B" w:rsidRDefault="00000000" w:rsidP="00A1223B">
            <w:pPr>
              <w:ind w:right="3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N Statistics</w:t>
            </w:r>
          </w:p>
        </w:tc>
        <w:tc>
          <w:tcPr>
            <w:tcW w:w="993" w:type="dxa"/>
          </w:tcPr>
          <w:p w14:paraId="699FE8B9" w14:textId="77777777" w:rsidR="0017726E" w:rsidRPr="00A1223B" w:rsidRDefault="00000000" w:rsidP="00A1223B">
            <w:pPr>
              <w:ind w:left="1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Range Statistics</w:t>
            </w:r>
          </w:p>
        </w:tc>
        <w:tc>
          <w:tcPr>
            <w:tcW w:w="992" w:type="dxa"/>
          </w:tcPr>
          <w:p w14:paraId="36B00262" w14:textId="77777777" w:rsidR="0017726E" w:rsidRPr="00A1223B" w:rsidRDefault="00000000" w:rsidP="00A1223B">
            <w:pPr>
              <w:ind w:left="34" w:right="3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Min. Statistics</w:t>
            </w:r>
          </w:p>
        </w:tc>
        <w:tc>
          <w:tcPr>
            <w:tcW w:w="992" w:type="dxa"/>
          </w:tcPr>
          <w:p w14:paraId="19584923" w14:textId="77777777" w:rsidR="0017726E" w:rsidRPr="00A1223B" w:rsidRDefault="00000000" w:rsidP="00A1223B">
            <w:pPr>
              <w:ind w:left="38" w:right="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Max. Statistics</w:t>
            </w:r>
          </w:p>
        </w:tc>
        <w:tc>
          <w:tcPr>
            <w:tcW w:w="992" w:type="dxa"/>
          </w:tcPr>
          <w:p w14:paraId="6AFA8DE4" w14:textId="77777777" w:rsidR="0017726E" w:rsidRPr="00A1223B" w:rsidRDefault="00000000" w:rsidP="00A1223B">
            <w:pPr>
              <w:ind w:left="2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Mean Statistics</w:t>
            </w:r>
          </w:p>
        </w:tc>
        <w:tc>
          <w:tcPr>
            <w:tcW w:w="1134" w:type="dxa"/>
          </w:tcPr>
          <w:p w14:paraId="29225D4A" w14:textId="77777777" w:rsidR="0017726E" w:rsidRPr="00A1223B" w:rsidRDefault="00000000" w:rsidP="00A1223B">
            <w:pPr>
              <w:ind w:right="3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Std. Error Statistics</w:t>
            </w:r>
          </w:p>
        </w:tc>
        <w:tc>
          <w:tcPr>
            <w:tcW w:w="1276" w:type="dxa"/>
          </w:tcPr>
          <w:p w14:paraId="2661A44B" w14:textId="77777777" w:rsidR="0017726E" w:rsidRPr="00A1223B" w:rsidRDefault="00000000" w:rsidP="00A1223B">
            <w:pPr>
              <w:ind w:left="3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Std. Deviation Statistics</w:t>
            </w:r>
          </w:p>
        </w:tc>
      </w:tr>
      <w:tr w:rsidR="00A1223B" w:rsidRPr="00A1223B" w14:paraId="5FE3E5DD" w14:textId="77777777" w:rsidTr="00A1223B">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01" w:type="dxa"/>
          </w:tcPr>
          <w:p w14:paraId="6BE26E53" w14:textId="77777777" w:rsidR="00A1223B" w:rsidRDefault="00000000" w:rsidP="00A1223B">
            <w:pPr>
              <w:jc w:val="both"/>
              <w:rPr>
                <w:rFonts w:ascii="Times New Roman" w:hAnsi="Times New Roman" w:cs="Times New Roman"/>
                <w:b w:val="0"/>
                <w:sz w:val="18"/>
                <w:szCs w:val="18"/>
              </w:rPr>
            </w:pPr>
            <w:r w:rsidRPr="00A1223B">
              <w:rPr>
                <w:rFonts w:ascii="Times New Roman" w:hAnsi="Times New Roman" w:cs="Times New Roman"/>
                <w:sz w:val="18"/>
                <w:szCs w:val="18"/>
              </w:rPr>
              <w:t xml:space="preserve">Listening in Detail </w:t>
            </w:r>
          </w:p>
          <w:p w14:paraId="1A09A767" w14:textId="4C261437" w:rsidR="0017726E" w:rsidRPr="00A1223B" w:rsidRDefault="00000000" w:rsidP="00A1223B">
            <w:pPr>
              <w:jc w:val="both"/>
              <w:rPr>
                <w:rFonts w:ascii="Times New Roman" w:hAnsi="Times New Roman" w:cs="Times New Roman"/>
                <w:sz w:val="18"/>
                <w:szCs w:val="18"/>
              </w:rPr>
            </w:pPr>
            <w:r w:rsidRPr="00A1223B">
              <w:rPr>
                <w:rFonts w:ascii="Times New Roman" w:hAnsi="Times New Roman" w:cs="Times New Roman"/>
                <w:sz w:val="18"/>
                <w:szCs w:val="18"/>
              </w:rPr>
              <w:t>(pre-test)</w:t>
            </w:r>
          </w:p>
        </w:tc>
        <w:tc>
          <w:tcPr>
            <w:tcW w:w="1134" w:type="dxa"/>
          </w:tcPr>
          <w:p w14:paraId="7F67CA38"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35</w:t>
            </w:r>
          </w:p>
        </w:tc>
        <w:tc>
          <w:tcPr>
            <w:tcW w:w="993" w:type="dxa"/>
          </w:tcPr>
          <w:p w14:paraId="4BC5C233"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50</w:t>
            </w:r>
          </w:p>
        </w:tc>
        <w:tc>
          <w:tcPr>
            <w:tcW w:w="992" w:type="dxa"/>
          </w:tcPr>
          <w:p w14:paraId="7CB8021B"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20</w:t>
            </w:r>
          </w:p>
        </w:tc>
        <w:tc>
          <w:tcPr>
            <w:tcW w:w="992" w:type="dxa"/>
          </w:tcPr>
          <w:p w14:paraId="3A35AF02"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70</w:t>
            </w:r>
          </w:p>
        </w:tc>
        <w:tc>
          <w:tcPr>
            <w:tcW w:w="992" w:type="dxa"/>
          </w:tcPr>
          <w:p w14:paraId="3887BA77"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42.57</w:t>
            </w:r>
          </w:p>
        </w:tc>
        <w:tc>
          <w:tcPr>
            <w:tcW w:w="1134" w:type="dxa"/>
          </w:tcPr>
          <w:p w14:paraId="4A093FCC"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2.850</w:t>
            </w:r>
          </w:p>
        </w:tc>
        <w:tc>
          <w:tcPr>
            <w:tcW w:w="1276" w:type="dxa"/>
          </w:tcPr>
          <w:p w14:paraId="5FE14368" w14:textId="77777777" w:rsidR="0017726E" w:rsidRPr="00A1223B"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16.863</w:t>
            </w:r>
          </w:p>
        </w:tc>
      </w:tr>
      <w:tr w:rsidR="00A1223B" w:rsidRPr="00A1223B" w14:paraId="0E64AA6F" w14:textId="77777777" w:rsidTr="00A1223B">
        <w:trPr>
          <w:trHeight w:val="20"/>
          <w:jc w:val="center"/>
        </w:trPr>
        <w:tc>
          <w:tcPr>
            <w:cnfStyle w:val="001000000000" w:firstRow="0" w:lastRow="0" w:firstColumn="1" w:lastColumn="0" w:oddVBand="0" w:evenVBand="0" w:oddHBand="0" w:evenHBand="0" w:firstRowFirstColumn="0" w:firstRowLastColumn="0" w:lastRowFirstColumn="0" w:lastRowLastColumn="0"/>
            <w:tcW w:w="1701" w:type="dxa"/>
          </w:tcPr>
          <w:p w14:paraId="44F63D81" w14:textId="77777777" w:rsidR="0017726E" w:rsidRPr="00A1223B" w:rsidRDefault="00000000" w:rsidP="00A1223B">
            <w:pPr>
              <w:jc w:val="both"/>
              <w:rPr>
                <w:rFonts w:ascii="Times New Roman" w:hAnsi="Times New Roman" w:cs="Times New Roman"/>
                <w:sz w:val="18"/>
                <w:szCs w:val="18"/>
              </w:rPr>
            </w:pPr>
            <w:r w:rsidRPr="00A1223B">
              <w:rPr>
                <w:rFonts w:ascii="Times New Roman" w:hAnsi="Times New Roman" w:cs="Times New Roman"/>
                <w:sz w:val="18"/>
                <w:szCs w:val="18"/>
              </w:rPr>
              <w:t>Valid N (listwise)</w:t>
            </w:r>
          </w:p>
        </w:tc>
        <w:tc>
          <w:tcPr>
            <w:tcW w:w="1134" w:type="dxa"/>
          </w:tcPr>
          <w:p w14:paraId="35A25F1F" w14:textId="77777777" w:rsidR="0017726E" w:rsidRPr="00A1223B"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1223B">
              <w:rPr>
                <w:rFonts w:ascii="Times New Roman" w:hAnsi="Times New Roman" w:cs="Times New Roman"/>
                <w:sz w:val="18"/>
                <w:szCs w:val="18"/>
              </w:rPr>
              <w:t>35</w:t>
            </w:r>
          </w:p>
        </w:tc>
        <w:tc>
          <w:tcPr>
            <w:tcW w:w="993" w:type="dxa"/>
          </w:tcPr>
          <w:p w14:paraId="3127F943"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65924060"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36BC9631"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7BDA9E2E"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0CF33663"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76" w:type="dxa"/>
          </w:tcPr>
          <w:p w14:paraId="697A2830" w14:textId="77777777" w:rsidR="0017726E" w:rsidRPr="00A1223B"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46EB1481" w14:textId="77777777" w:rsidR="0017726E" w:rsidRPr="00A1223B" w:rsidRDefault="0017726E" w:rsidP="00CA37FC">
      <w:pPr>
        <w:jc w:val="both"/>
        <w:rPr>
          <w:sz w:val="22"/>
          <w:szCs w:val="22"/>
        </w:rPr>
      </w:pPr>
    </w:p>
    <w:p w14:paraId="32B09BB6" w14:textId="77777777" w:rsidR="0093328F" w:rsidRDefault="0093328F" w:rsidP="00CA37FC">
      <w:pPr>
        <w:ind w:firstLine="567"/>
        <w:jc w:val="both"/>
        <w:rPr>
          <w:sz w:val="22"/>
          <w:szCs w:val="22"/>
        </w:rPr>
        <w:sectPr w:rsidR="0093328F" w:rsidSect="001B4243">
          <w:type w:val="continuous"/>
          <w:pgSz w:w="11907" w:h="16840"/>
          <w:pgMar w:top="1531" w:right="1418" w:bottom="1418" w:left="1418" w:header="851" w:footer="454" w:gutter="0"/>
          <w:pgNumType w:start="3549"/>
          <w:cols w:space="425"/>
          <w:docGrid w:linePitch="326"/>
        </w:sectPr>
      </w:pPr>
    </w:p>
    <w:p w14:paraId="63D562A4" w14:textId="5551DE43" w:rsidR="0017726E" w:rsidRDefault="00000000" w:rsidP="00CA37FC">
      <w:pPr>
        <w:ind w:firstLine="567"/>
        <w:jc w:val="both"/>
        <w:rPr>
          <w:sz w:val="22"/>
          <w:szCs w:val="22"/>
        </w:rPr>
      </w:pPr>
      <w:r w:rsidRPr="00A1223B">
        <w:rPr>
          <w:sz w:val="22"/>
          <w:szCs w:val="22"/>
        </w:rPr>
        <w:t xml:space="preserve">As indicated in Table 2, the pre-test scores of the 35 students ranged from 20 to 70, with a mean score of 42.57. The standard deviation was 16.863, showing moderate variation, while the standard error of 2.850 confirmed the reliability of the sample. The distribution also suggested clusters of scores within certain intervals, which </w:t>
      </w:r>
      <w:r w:rsidRPr="00A1223B">
        <w:rPr>
          <w:sz w:val="22"/>
          <w:szCs w:val="22"/>
        </w:rPr>
        <w:t>provided useful insight into students’ listening performance before the intervention.</w:t>
      </w:r>
      <w:r w:rsidR="00CA37FC">
        <w:rPr>
          <w:sz w:val="22"/>
          <w:szCs w:val="22"/>
        </w:rPr>
        <w:t xml:space="preserve"> </w:t>
      </w:r>
      <w:r w:rsidRPr="00A1223B">
        <w:rPr>
          <w:sz w:val="22"/>
          <w:szCs w:val="22"/>
        </w:rPr>
        <w:t>Following the treatment, the post-test results for the experimental class are shown in Table 3. This table reveals how the intervention influenced students’ overall achievement.</w:t>
      </w:r>
    </w:p>
    <w:p w14:paraId="3C526D9C" w14:textId="77777777" w:rsidR="0093328F" w:rsidRDefault="0093328F" w:rsidP="00CA37FC">
      <w:pPr>
        <w:ind w:firstLine="567"/>
        <w:jc w:val="both"/>
        <w:rPr>
          <w:sz w:val="22"/>
          <w:szCs w:val="22"/>
        </w:rPr>
        <w:sectPr w:rsidR="0093328F" w:rsidSect="0093328F">
          <w:type w:val="continuous"/>
          <w:pgSz w:w="11907" w:h="16840"/>
          <w:pgMar w:top="1531" w:right="1418" w:bottom="1418" w:left="1418" w:header="851" w:footer="454" w:gutter="0"/>
          <w:pgNumType w:start="3546"/>
          <w:cols w:num="2" w:space="454"/>
          <w:docGrid w:linePitch="326"/>
        </w:sectPr>
      </w:pPr>
    </w:p>
    <w:p w14:paraId="6B3E37CA" w14:textId="77777777" w:rsidR="00CA37FC" w:rsidRPr="00A1223B" w:rsidRDefault="00CA37FC" w:rsidP="00CA37FC">
      <w:pPr>
        <w:ind w:firstLine="567"/>
        <w:jc w:val="both"/>
        <w:rPr>
          <w:sz w:val="22"/>
          <w:szCs w:val="22"/>
        </w:rPr>
      </w:pPr>
    </w:p>
    <w:p w14:paraId="0C3611B0" w14:textId="4CEF3D70" w:rsidR="0017726E" w:rsidRPr="00CA37FC" w:rsidRDefault="00000000" w:rsidP="00CA37FC">
      <w:pPr>
        <w:spacing w:line="276" w:lineRule="auto"/>
        <w:jc w:val="center"/>
        <w:rPr>
          <w:bCs/>
          <w:sz w:val="20"/>
          <w:szCs w:val="20"/>
        </w:rPr>
      </w:pPr>
      <w:r w:rsidRPr="00CA37FC">
        <w:rPr>
          <w:b/>
          <w:sz w:val="20"/>
          <w:szCs w:val="20"/>
        </w:rPr>
        <w:t>Table 3.</w:t>
      </w:r>
      <w:r w:rsidR="00CA37FC" w:rsidRPr="00CA37FC">
        <w:rPr>
          <w:b/>
          <w:sz w:val="20"/>
          <w:szCs w:val="20"/>
        </w:rPr>
        <w:t xml:space="preserve"> </w:t>
      </w:r>
      <w:r w:rsidRPr="00CA37FC">
        <w:rPr>
          <w:bCs/>
          <w:sz w:val="20"/>
          <w:szCs w:val="20"/>
        </w:rPr>
        <w:t>Descriptive Statistics Post-test in Experimental Class</w:t>
      </w:r>
    </w:p>
    <w:tbl>
      <w:tblPr>
        <w:tblStyle w:val="a2"/>
        <w:tblW w:w="9179"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1701"/>
        <w:gridCol w:w="1099"/>
        <w:gridCol w:w="992"/>
        <w:gridCol w:w="1134"/>
        <w:gridCol w:w="992"/>
        <w:gridCol w:w="993"/>
        <w:gridCol w:w="1134"/>
        <w:gridCol w:w="1134"/>
      </w:tblGrid>
      <w:tr w:rsidR="0017726E" w:rsidRPr="00CA37FC" w14:paraId="66C72BF5" w14:textId="77777777" w:rsidTr="00CA37FC">
        <w:trPr>
          <w:cnfStyle w:val="100000000000" w:firstRow="1" w:lastRow="0" w:firstColumn="0" w:lastColumn="0" w:oddVBand="0" w:evenVBand="0" w:oddHBand="0" w:evenHBand="0" w:firstRowFirstColumn="0" w:firstRowLastColumn="0" w:lastRowFirstColumn="0" w:lastRowLastColumn="0"/>
          <w:cantSplit/>
          <w:trHeight w:val="227"/>
          <w:jc w:val="center"/>
        </w:trPr>
        <w:tc>
          <w:tcPr>
            <w:cnfStyle w:val="001000000000" w:firstRow="0" w:lastRow="0" w:firstColumn="1" w:lastColumn="0" w:oddVBand="0" w:evenVBand="0" w:oddHBand="0" w:evenHBand="0" w:firstRowFirstColumn="0" w:firstRowLastColumn="0" w:lastRowFirstColumn="0" w:lastRowLastColumn="0"/>
            <w:tcW w:w="1701" w:type="dxa"/>
          </w:tcPr>
          <w:p w14:paraId="115133D4" w14:textId="77777777" w:rsidR="0017726E" w:rsidRPr="00CA37FC" w:rsidRDefault="0017726E" w:rsidP="00A1223B">
            <w:pPr>
              <w:jc w:val="both"/>
              <w:rPr>
                <w:rFonts w:ascii="Times New Roman" w:hAnsi="Times New Roman" w:cs="Times New Roman"/>
                <w:sz w:val="18"/>
                <w:szCs w:val="18"/>
              </w:rPr>
            </w:pPr>
          </w:p>
        </w:tc>
        <w:tc>
          <w:tcPr>
            <w:tcW w:w="1099" w:type="dxa"/>
          </w:tcPr>
          <w:p w14:paraId="733E09E7"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N Statistics</w:t>
            </w:r>
          </w:p>
        </w:tc>
        <w:tc>
          <w:tcPr>
            <w:tcW w:w="992" w:type="dxa"/>
          </w:tcPr>
          <w:p w14:paraId="2E0EE478" w14:textId="77777777" w:rsidR="0017726E" w:rsidRPr="00CA37FC" w:rsidRDefault="00000000" w:rsidP="00CA37FC">
            <w:pPr>
              <w:ind w:left="6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Range Statistics</w:t>
            </w:r>
          </w:p>
        </w:tc>
        <w:tc>
          <w:tcPr>
            <w:tcW w:w="1134" w:type="dxa"/>
          </w:tcPr>
          <w:p w14:paraId="0C5FABAF" w14:textId="77777777" w:rsidR="0017726E" w:rsidRPr="00CA37FC" w:rsidRDefault="00000000" w:rsidP="00CA37FC">
            <w:pPr>
              <w:ind w:left="67" w:right="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Min. Statistics</w:t>
            </w:r>
          </w:p>
        </w:tc>
        <w:tc>
          <w:tcPr>
            <w:tcW w:w="992" w:type="dxa"/>
          </w:tcPr>
          <w:p w14:paraId="4D4A151E" w14:textId="77777777" w:rsidR="0017726E" w:rsidRPr="00CA37FC" w:rsidRDefault="00000000" w:rsidP="00CA37FC">
            <w:pPr>
              <w:ind w:left="8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Max. Statistics</w:t>
            </w:r>
          </w:p>
        </w:tc>
        <w:tc>
          <w:tcPr>
            <w:tcW w:w="993" w:type="dxa"/>
          </w:tcPr>
          <w:p w14:paraId="2E18F0BF" w14:textId="77777777" w:rsidR="0017726E" w:rsidRPr="00CA37FC" w:rsidRDefault="00000000" w:rsidP="00CA37FC">
            <w:pPr>
              <w:ind w:left="6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Mean Statistics</w:t>
            </w:r>
          </w:p>
        </w:tc>
        <w:tc>
          <w:tcPr>
            <w:tcW w:w="1134" w:type="dxa"/>
          </w:tcPr>
          <w:p w14:paraId="0DD8A8DB" w14:textId="77777777" w:rsidR="0017726E" w:rsidRPr="00CA37FC" w:rsidRDefault="00000000" w:rsidP="00CA37FC">
            <w:pPr>
              <w:ind w:right="3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Error Statistics</w:t>
            </w:r>
          </w:p>
        </w:tc>
        <w:tc>
          <w:tcPr>
            <w:tcW w:w="1134" w:type="dxa"/>
          </w:tcPr>
          <w:p w14:paraId="4BD28863" w14:textId="77777777" w:rsidR="0017726E" w:rsidRPr="00CA37FC" w:rsidRDefault="00000000" w:rsidP="00CA37FC">
            <w:pPr>
              <w:ind w:left="45"/>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Deviation Statistics</w:t>
            </w:r>
          </w:p>
        </w:tc>
      </w:tr>
      <w:tr w:rsidR="00CA37FC" w:rsidRPr="00CA37FC" w14:paraId="52695C80" w14:textId="77777777" w:rsidTr="00CA37FC">
        <w:trPr>
          <w:cnfStyle w:val="000000100000" w:firstRow="0" w:lastRow="0" w:firstColumn="0" w:lastColumn="0" w:oddVBand="0" w:evenVBand="0" w:oddHBand="1" w:evenHBand="0" w:firstRowFirstColumn="0" w:firstRowLastColumn="0" w:lastRowFirstColumn="0" w:lastRowLastColumn="0"/>
          <w:cantSplit/>
          <w:trHeight w:val="227"/>
          <w:jc w:val="center"/>
        </w:trPr>
        <w:tc>
          <w:tcPr>
            <w:cnfStyle w:val="001000000000" w:firstRow="0" w:lastRow="0" w:firstColumn="1" w:lastColumn="0" w:oddVBand="0" w:evenVBand="0" w:oddHBand="0" w:evenHBand="0" w:firstRowFirstColumn="0" w:firstRowLastColumn="0" w:lastRowFirstColumn="0" w:lastRowLastColumn="0"/>
            <w:tcW w:w="1701" w:type="dxa"/>
          </w:tcPr>
          <w:p w14:paraId="01EE48B9" w14:textId="77777777" w:rsidR="0017726E" w:rsidRPr="00CA37FC" w:rsidRDefault="00000000" w:rsidP="00A1223B">
            <w:pPr>
              <w:jc w:val="both"/>
              <w:rPr>
                <w:rFonts w:ascii="Times New Roman" w:hAnsi="Times New Roman" w:cs="Times New Roman"/>
                <w:sz w:val="18"/>
                <w:szCs w:val="18"/>
              </w:rPr>
            </w:pPr>
            <w:r w:rsidRPr="00CA37FC">
              <w:rPr>
                <w:rFonts w:ascii="Times New Roman" w:hAnsi="Times New Roman" w:cs="Times New Roman"/>
                <w:sz w:val="18"/>
                <w:szCs w:val="18"/>
              </w:rPr>
              <w:t>Listening in Detail (post-test)</w:t>
            </w:r>
          </w:p>
        </w:tc>
        <w:tc>
          <w:tcPr>
            <w:tcW w:w="1099" w:type="dxa"/>
          </w:tcPr>
          <w:p w14:paraId="2D689835"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20A3E92C"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60</w:t>
            </w:r>
          </w:p>
        </w:tc>
        <w:tc>
          <w:tcPr>
            <w:tcW w:w="1134" w:type="dxa"/>
          </w:tcPr>
          <w:p w14:paraId="4B350524"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30</w:t>
            </w:r>
          </w:p>
        </w:tc>
        <w:tc>
          <w:tcPr>
            <w:tcW w:w="992" w:type="dxa"/>
          </w:tcPr>
          <w:p w14:paraId="4C130CD8"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90</w:t>
            </w:r>
          </w:p>
        </w:tc>
        <w:tc>
          <w:tcPr>
            <w:tcW w:w="993" w:type="dxa"/>
          </w:tcPr>
          <w:p w14:paraId="11E0A159"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68.57</w:t>
            </w:r>
          </w:p>
        </w:tc>
        <w:tc>
          <w:tcPr>
            <w:tcW w:w="1134" w:type="dxa"/>
          </w:tcPr>
          <w:p w14:paraId="719A95DE"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3.409</w:t>
            </w:r>
          </w:p>
        </w:tc>
        <w:tc>
          <w:tcPr>
            <w:tcW w:w="1134" w:type="dxa"/>
          </w:tcPr>
          <w:p w14:paraId="52744AE0"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20.167</w:t>
            </w:r>
          </w:p>
        </w:tc>
      </w:tr>
      <w:tr w:rsidR="0017726E" w:rsidRPr="00CA37FC" w14:paraId="04BE41ED" w14:textId="77777777" w:rsidTr="00CA37FC">
        <w:trPr>
          <w:cantSplit/>
          <w:trHeight w:val="227"/>
          <w:jc w:val="center"/>
        </w:trPr>
        <w:tc>
          <w:tcPr>
            <w:cnfStyle w:val="001000000000" w:firstRow="0" w:lastRow="0" w:firstColumn="1" w:lastColumn="0" w:oddVBand="0" w:evenVBand="0" w:oddHBand="0" w:evenHBand="0" w:firstRowFirstColumn="0" w:firstRowLastColumn="0" w:lastRowFirstColumn="0" w:lastRowLastColumn="0"/>
            <w:tcW w:w="1701" w:type="dxa"/>
          </w:tcPr>
          <w:p w14:paraId="2F0E6E45" w14:textId="77777777" w:rsidR="0017726E" w:rsidRPr="00CA37FC" w:rsidRDefault="00000000" w:rsidP="00A1223B">
            <w:pPr>
              <w:jc w:val="both"/>
              <w:rPr>
                <w:rFonts w:ascii="Times New Roman" w:hAnsi="Times New Roman" w:cs="Times New Roman"/>
                <w:sz w:val="18"/>
                <w:szCs w:val="18"/>
              </w:rPr>
            </w:pPr>
            <w:r w:rsidRPr="00CA37FC">
              <w:rPr>
                <w:rFonts w:ascii="Times New Roman" w:hAnsi="Times New Roman" w:cs="Times New Roman"/>
                <w:sz w:val="18"/>
                <w:szCs w:val="18"/>
              </w:rPr>
              <w:t>Valid N (listwise)</w:t>
            </w:r>
          </w:p>
        </w:tc>
        <w:tc>
          <w:tcPr>
            <w:tcW w:w="1099" w:type="dxa"/>
          </w:tcPr>
          <w:p w14:paraId="57A929C0" w14:textId="77777777" w:rsidR="0017726E" w:rsidRPr="00CA37FC"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0FB39F0B"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78E918DF"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216C25D7"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3" w:type="dxa"/>
          </w:tcPr>
          <w:p w14:paraId="4CF46246"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566B07F9"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631DAE8D"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11F3C764" w14:textId="77777777" w:rsidR="0017726E" w:rsidRPr="00A1223B" w:rsidRDefault="0017726E" w:rsidP="00CA37FC">
      <w:pPr>
        <w:jc w:val="both"/>
        <w:rPr>
          <w:sz w:val="22"/>
          <w:szCs w:val="22"/>
        </w:rPr>
      </w:pPr>
    </w:p>
    <w:p w14:paraId="4143C101" w14:textId="77777777" w:rsidR="0093328F" w:rsidRDefault="0093328F" w:rsidP="00CA37FC">
      <w:pPr>
        <w:ind w:firstLine="567"/>
        <w:jc w:val="both"/>
        <w:rPr>
          <w:sz w:val="22"/>
          <w:szCs w:val="22"/>
        </w:rPr>
        <w:sectPr w:rsidR="0093328F" w:rsidSect="00C33625">
          <w:type w:val="continuous"/>
          <w:pgSz w:w="11907" w:h="16840"/>
          <w:pgMar w:top="1531" w:right="1418" w:bottom="1418" w:left="1418" w:header="851" w:footer="454" w:gutter="0"/>
          <w:pgNumType w:start="3546"/>
          <w:cols w:space="425"/>
          <w:docGrid w:linePitch="326"/>
        </w:sectPr>
      </w:pPr>
    </w:p>
    <w:p w14:paraId="1A7B2E8A" w14:textId="33EF8ECE" w:rsidR="0017726E" w:rsidRDefault="00000000" w:rsidP="00CA37FC">
      <w:pPr>
        <w:ind w:firstLine="567"/>
        <w:jc w:val="both"/>
        <w:rPr>
          <w:sz w:val="22"/>
          <w:szCs w:val="22"/>
        </w:rPr>
      </w:pPr>
      <w:r w:rsidRPr="00A1223B">
        <w:rPr>
          <w:sz w:val="22"/>
          <w:szCs w:val="22"/>
        </w:rPr>
        <w:t xml:space="preserve">Based on Table 3, the post-test scores ranged from 30 to 90, with a higher mean score of 68.57. The standard deviation increased to 20.167, indicating greater spread among students, while the standard error of 3.409 confirmed the accuracy of the mean. The frequency distribution revealed that more students achieved higher </w:t>
      </w:r>
      <w:r w:rsidRPr="00A1223B">
        <w:rPr>
          <w:sz w:val="22"/>
          <w:szCs w:val="22"/>
        </w:rPr>
        <w:t>scores, reflecting the positive impact of the treatment on their listening comprehension.</w:t>
      </w:r>
      <w:r w:rsidR="00CA37FC">
        <w:rPr>
          <w:sz w:val="22"/>
          <w:szCs w:val="22"/>
        </w:rPr>
        <w:t xml:space="preserve"> </w:t>
      </w:r>
      <w:r w:rsidRPr="00A1223B">
        <w:rPr>
          <w:sz w:val="22"/>
          <w:szCs w:val="22"/>
        </w:rPr>
        <w:t>The descriptive statistics for the pre-test results of the control class are summarized in Table 4. These data provide a benchmark for comparing the control class with the experimental class.</w:t>
      </w:r>
    </w:p>
    <w:p w14:paraId="5F501A34" w14:textId="77777777" w:rsidR="0093328F" w:rsidRDefault="0093328F" w:rsidP="00CA37FC">
      <w:pPr>
        <w:ind w:firstLine="567"/>
        <w:jc w:val="both"/>
        <w:rPr>
          <w:sz w:val="22"/>
          <w:szCs w:val="22"/>
        </w:rPr>
        <w:sectPr w:rsidR="0093328F" w:rsidSect="0093328F">
          <w:type w:val="continuous"/>
          <w:pgSz w:w="11907" w:h="16840"/>
          <w:pgMar w:top="1531" w:right="1418" w:bottom="1418" w:left="1418" w:header="851" w:footer="454" w:gutter="0"/>
          <w:pgNumType w:start="3546"/>
          <w:cols w:num="2" w:space="454"/>
          <w:docGrid w:linePitch="326"/>
        </w:sectPr>
      </w:pPr>
    </w:p>
    <w:p w14:paraId="082623FC" w14:textId="77777777" w:rsidR="00CA37FC" w:rsidRPr="00A1223B" w:rsidRDefault="00CA37FC" w:rsidP="00CA37FC">
      <w:pPr>
        <w:ind w:firstLine="567"/>
        <w:jc w:val="both"/>
        <w:rPr>
          <w:sz w:val="22"/>
          <w:szCs w:val="22"/>
        </w:rPr>
      </w:pPr>
    </w:p>
    <w:p w14:paraId="02B516CA" w14:textId="77777777" w:rsidR="0017726E" w:rsidRPr="00CA37FC" w:rsidRDefault="00000000" w:rsidP="00CA37FC">
      <w:pPr>
        <w:spacing w:line="276" w:lineRule="auto"/>
        <w:jc w:val="center"/>
        <w:rPr>
          <w:sz w:val="20"/>
          <w:szCs w:val="20"/>
        </w:rPr>
      </w:pPr>
      <w:r w:rsidRPr="00CA37FC">
        <w:rPr>
          <w:b/>
          <w:sz w:val="20"/>
          <w:szCs w:val="20"/>
        </w:rPr>
        <w:t xml:space="preserve">Table 4. </w:t>
      </w:r>
      <w:r w:rsidRPr="00CA37FC">
        <w:rPr>
          <w:bCs/>
          <w:sz w:val="20"/>
          <w:szCs w:val="20"/>
        </w:rPr>
        <w:t>Descriptive Statistics Pre-test in Control Class</w:t>
      </w:r>
    </w:p>
    <w:tbl>
      <w:tblPr>
        <w:tblStyle w:val="a3"/>
        <w:tblW w:w="9072"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1418"/>
        <w:gridCol w:w="1276"/>
        <w:gridCol w:w="992"/>
        <w:gridCol w:w="1134"/>
        <w:gridCol w:w="1134"/>
        <w:gridCol w:w="992"/>
        <w:gridCol w:w="1134"/>
        <w:gridCol w:w="992"/>
      </w:tblGrid>
      <w:tr w:rsidR="0017726E" w:rsidRPr="00CA37FC" w14:paraId="05C8E232" w14:textId="77777777" w:rsidTr="00CA37FC">
        <w:trPr>
          <w:cnfStyle w:val="100000000000" w:firstRow="1" w:lastRow="0" w:firstColumn="0" w:lastColumn="0" w:oddVBand="0" w:evenVBand="0" w:oddHBand="0"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7837EEC3" w14:textId="77777777" w:rsidR="0017726E" w:rsidRPr="00CA37FC" w:rsidRDefault="0017726E" w:rsidP="00A1223B">
            <w:pPr>
              <w:ind w:left="113" w:right="113"/>
              <w:jc w:val="both"/>
              <w:rPr>
                <w:rFonts w:ascii="Times New Roman" w:hAnsi="Times New Roman" w:cs="Times New Roman"/>
                <w:sz w:val="18"/>
                <w:szCs w:val="18"/>
              </w:rPr>
            </w:pPr>
          </w:p>
        </w:tc>
        <w:tc>
          <w:tcPr>
            <w:tcW w:w="1276" w:type="dxa"/>
          </w:tcPr>
          <w:p w14:paraId="14CFB591" w14:textId="77777777" w:rsidR="0017726E" w:rsidRPr="00CA37FC" w:rsidRDefault="00000000" w:rsidP="00CA37FC">
            <w:pPr>
              <w:ind w:left="69"/>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N Statistics</w:t>
            </w:r>
          </w:p>
        </w:tc>
        <w:tc>
          <w:tcPr>
            <w:tcW w:w="992" w:type="dxa"/>
          </w:tcPr>
          <w:p w14:paraId="7F75367E"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Range Statistics</w:t>
            </w:r>
          </w:p>
        </w:tc>
        <w:tc>
          <w:tcPr>
            <w:tcW w:w="1134" w:type="dxa"/>
          </w:tcPr>
          <w:p w14:paraId="4EB8702A" w14:textId="77777777" w:rsidR="0017726E" w:rsidRPr="00CA37FC" w:rsidRDefault="00000000" w:rsidP="00CA37FC">
            <w:pPr>
              <w:ind w:righ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Minimum Statistics</w:t>
            </w:r>
          </w:p>
        </w:tc>
        <w:tc>
          <w:tcPr>
            <w:tcW w:w="1134" w:type="dxa"/>
          </w:tcPr>
          <w:p w14:paraId="14B3E6C8"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Maximum Statistics</w:t>
            </w:r>
          </w:p>
        </w:tc>
        <w:tc>
          <w:tcPr>
            <w:tcW w:w="992" w:type="dxa"/>
          </w:tcPr>
          <w:p w14:paraId="54A9533B" w14:textId="77777777" w:rsidR="0017726E" w:rsidRPr="00CA37FC" w:rsidRDefault="00000000" w:rsidP="00CA37FC">
            <w:pPr>
              <w:ind w:right="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Mean Statistics</w:t>
            </w:r>
          </w:p>
        </w:tc>
        <w:tc>
          <w:tcPr>
            <w:tcW w:w="1134" w:type="dxa"/>
          </w:tcPr>
          <w:p w14:paraId="7EEAF0B2"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Error Statistics</w:t>
            </w:r>
          </w:p>
        </w:tc>
        <w:tc>
          <w:tcPr>
            <w:tcW w:w="992" w:type="dxa"/>
          </w:tcPr>
          <w:p w14:paraId="1620DCF2" w14:textId="77777777" w:rsidR="0017726E" w:rsidRPr="00CA37FC" w:rsidRDefault="00000000" w:rsidP="00CA37FC">
            <w:pPr>
              <w:ind w:right="3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Deviation Statistics</w:t>
            </w:r>
          </w:p>
        </w:tc>
      </w:tr>
      <w:tr w:rsidR="00CA37FC" w:rsidRPr="00CA37FC" w14:paraId="1EC7F4E6" w14:textId="77777777" w:rsidTr="00CA37FC">
        <w:trPr>
          <w:cnfStyle w:val="000000100000" w:firstRow="0" w:lastRow="0" w:firstColumn="0" w:lastColumn="0" w:oddVBand="0" w:evenVBand="0" w:oddHBand="1"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2A3F7267" w14:textId="77777777" w:rsidR="00CA37FC" w:rsidRDefault="00000000" w:rsidP="00CA37FC">
            <w:pPr>
              <w:rPr>
                <w:rFonts w:ascii="Times New Roman" w:hAnsi="Times New Roman" w:cs="Times New Roman"/>
                <w:sz w:val="18"/>
                <w:szCs w:val="18"/>
              </w:rPr>
            </w:pPr>
            <w:r w:rsidRPr="00CA37FC">
              <w:rPr>
                <w:rFonts w:ascii="Times New Roman" w:hAnsi="Times New Roman" w:cs="Times New Roman"/>
                <w:sz w:val="18"/>
                <w:szCs w:val="18"/>
              </w:rPr>
              <w:t xml:space="preserve">Listening in Detail </w:t>
            </w:r>
          </w:p>
          <w:p w14:paraId="069A4713" w14:textId="7730E7F4" w:rsidR="0017726E" w:rsidRPr="00CA37FC" w:rsidRDefault="00000000" w:rsidP="00CA37FC">
            <w:pPr>
              <w:rPr>
                <w:rFonts w:ascii="Times New Roman" w:hAnsi="Times New Roman" w:cs="Times New Roman"/>
                <w:b w:val="0"/>
                <w:sz w:val="18"/>
                <w:szCs w:val="18"/>
              </w:rPr>
            </w:pPr>
            <w:r w:rsidRPr="00CA37FC">
              <w:rPr>
                <w:rFonts w:ascii="Times New Roman" w:hAnsi="Times New Roman" w:cs="Times New Roman"/>
                <w:sz w:val="18"/>
                <w:szCs w:val="18"/>
              </w:rPr>
              <w:t>(pre-test)</w:t>
            </w:r>
          </w:p>
        </w:tc>
        <w:tc>
          <w:tcPr>
            <w:tcW w:w="1276" w:type="dxa"/>
          </w:tcPr>
          <w:p w14:paraId="67A54C23"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4B66C94F"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60</w:t>
            </w:r>
          </w:p>
        </w:tc>
        <w:tc>
          <w:tcPr>
            <w:tcW w:w="1134" w:type="dxa"/>
          </w:tcPr>
          <w:p w14:paraId="4145B96F"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20</w:t>
            </w:r>
          </w:p>
        </w:tc>
        <w:tc>
          <w:tcPr>
            <w:tcW w:w="1134" w:type="dxa"/>
          </w:tcPr>
          <w:p w14:paraId="2AE7BA15"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80</w:t>
            </w:r>
          </w:p>
        </w:tc>
        <w:tc>
          <w:tcPr>
            <w:tcW w:w="992" w:type="dxa"/>
          </w:tcPr>
          <w:p w14:paraId="16DA7A8B"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47.42</w:t>
            </w:r>
          </w:p>
        </w:tc>
        <w:tc>
          <w:tcPr>
            <w:tcW w:w="1134" w:type="dxa"/>
          </w:tcPr>
          <w:p w14:paraId="569BE1D7"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2.850</w:t>
            </w:r>
          </w:p>
        </w:tc>
        <w:tc>
          <w:tcPr>
            <w:tcW w:w="992" w:type="dxa"/>
          </w:tcPr>
          <w:p w14:paraId="3533C98D"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16.863</w:t>
            </w:r>
          </w:p>
        </w:tc>
      </w:tr>
      <w:tr w:rsidR="0017726E" w:rsidRPr="00CA37FC" w14:paraId="3391D9A8" w14:textId="77777777" w:rsidTr="00CA37FC">
        <w:trPr>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780AEAC0" w14:textId="77777777" w:rsidR="0017726E" w:rsidRPr="00CA37FC" w:rsidRDefault="00000000" w:rsidP="00CA37FC">
            <w:pPr>
              <w:rPr>
                <w:rFonts w:ascii="Times New Roman" w:hAnsi="Times New Roman" w:cs="Times New Roman"/>
                <w:sz w:val="18"/>
                <w:szCs w:val="18"/>
              </w:rPr>
            </w:pPr>
            <w:r w:rsidRPr="00CA37FC">
              <w:rPr>
                <w:rFonts w:ascii="Times New Roman" w:hAnsi="Times New Roman" w:cs="Times New Roman"/>
                <w:sz w:val="18"/>
                <w:szCs w:val="18"/>
              </w:rPr>
              <w:t>Valid N (listwise)</w:t>
            </w:r>
          </w:p>
        </w:tc>
        <w:tc>
          <w:tcPr>
            <w:tcW w:w="1276" w:type="dxa"/>
          </w:tcPr>
          <w:p w14:paraId="55DCC7BA" w14:textId="77777777" w:rsidR="0017726E" w:rsidRPr="00CA37FC"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11E70DB4"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680571C7"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33EAD2C2"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52A432CB"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003D792E"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515E8E9C"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7D57C1DE" w14:textId="77777777" w:rsidR="0017726E" w:rsidRPr="00A1223B" w:rsidRDefault="0017726E" w:rsidP="00CA37FC">
      <w:pPr>
        <w:jc w:val="both"/>
        <w:rPr>
          <w:sz w:val="22"/>
          <w:szCs w:val="22"/>
        </w:rPr>
      </w:pPr>
    </w:p>
    <w:p w14:paraId="3DF7293B" w14:textId="77777777" w:rsidR="0093328F" w:rsidRDefault="0093328F" w:rsidP="0093328F">
      <w:pPr>
        <w:ind w:firstLine="567"/>
        <w:jc w:val="both"/>
        <w:rPr>
          <w:sz w:val="22"/>
          <w:szCs w:val="22"/>
        </w:rPr>
        <w:sectPr w:rsidR="0093328F" w:rsidSect="00C33625">
          <w:type w:val="continuous"/>
          <w:pgSz w:w="11907" w:h="16840"/>
          <w:pgMar w:top="1531" w:right="1418" w:bottom="1418" w:left="1418" w:header="851" w:footer="454" w:gutter="0"/>
          <w:pgNumType w:start="3546"/>
          <w:cols w:space="425"/>
          <w:docGrid w:linePitch="326"/>
        </w:sectPr>
      </w:pPr>
    </w:p>
    <w:p w14:paraId="0A1349FB" w14:textId="50D747C2" w:rsidR="0017726E" w:rsidRDefault="00000000" w:rsidP="0093328F">
      <w:pPr>
        <w:ind w:firstLine="567"/>
        <w:jc w:val="both"/>
        <w:rPr>
          <w:sz w:val="22"/>
          <w:szCs w:val="22"/>
        </w:rPr>
      </w:pPr>
      <w:r w:rsidRPr="00A1223B">
        <w:rPr>
          <w:sz w:val="22"/>
          <w:szCs w:val="22"/>
        </w:rPr>
        <w:t xml:space="preserve">As presented in Table 4 the pre-test results for the 35 students ranged from 20 to 80, with a mean of 47.42. The standard deviation of 16.863 showed moderate variability, while the standard error of 2.850 highlighted the precision of the mean score. This confirmed that the data </w:t>
      </w:r>
      <w:r w:rsidRPr="00A1223B">
        <w:rPr>
          <w:sz w:val="22"/>
          <w:szCs w:val="22"/>
        </w:rPr>
        <w:t>collected from the control class was valid and reliable for comparison.</w:t>
      </w:r>
      <w:r w:rsidR="00CA37FC">
        <w:rPr>
          <w:sz w:val="22"/>
          <w:szCs w:val="22"/>
        </w:rPr>
        <w:t xml:space="preserve"> </w:t>
      </w:r>
      <w:r w:rsidRPr="00A1223B">
        <w:rPr>
          <w:sz w:val="22"/>
          <w:szCs w:val="22"/>
        </w:rPr>
        <w:t>The post-test results of the control class are provided in Table 5, reflecting the students’ performance after standard instruction without the experimental treatment.</w:t>
      </w:r>
    </w:p>
    <w:p w14:paraId="4DF58976" w14:textId="77777777" w:rsidR="0093328F" w:rsidRDefault="0093328F" w:rsidP="00CA37FC">
      <w:pPr>
        <w:ind w:firstLine="720"/>
        <w:jc w:val="both"/>
        <w:rPr>
          <w:sz w:val="22"/>
          <w:szCs w:val="22"/>
        </w:rPr>
        <w:sectPr w:rsidR="0093328F" w:rsidSect="0093328F">
          <w:type w:val="continuous"/>
          <w:pgSz w:w="11907" w:h="16840"/>
          <w:pgMar w:top="1531" w:right="1418" w:bottom="1418" w:left="1418" w:header="851" w:footer="454" w:gutter="0"/>
          <w:pgNumType w:start="3546"/>
          <w:cols w:num="2" w:space="454"/>
          <w:docGrid w:linePitch="326"/>
        </w:sectPr>
      </w:pPr>
    </w:p>
    <w:p w14:paraId="419A2DCA" w14:textId="77777777" w:rsidR="00CA37FC" w:rsidRPr="00A1223B" w:rsidRDefault="00CA37FC" w:rsidP="00CA37FC">
      <w:pPr>
        <w:ind w:firstLine="720"/>
        <w:jc w:val="both"/>
        <w:rPr>
          <w:sz w:val="22"/>
          <w:szCs w:val="22"/>
        </w:rPr>
      </w:pPr>
    </w:p>
    <w:p w14:paraId="2109E878" w14:textId="77777777" w:rsidR="0017726E" w:rsidRPr="00CA37FC" w:rsidRDefault="00000000" w:rsidP="00CA37FC">
      <w:pPr>
        <w:spacing w:line="276" w:lineRule="auto"/>
        <w:jc w:val="center"/>
        <w:rPr>
          <w:bCs/>
          <w:sz w:val="20"/>
          <w:szCs w:val="20"/>
        </w:rPr>
      </w:pPr>
      <w:r w:rsidRPr="00CA37FC">
        <w:rPr>
          <w:b/>
          <w:sz w:val="20"/>
          <w:szCs w:val="20"/>
        </w:rPr>
        <w:t xml:space="preserve">Table 5. </w:t>
      </w:r>
      <w:r w:rsidRPr="00CA37FC">
        <w:rPr>
          <w:bCs/>
          <w:sz w:val="20"/>
          <w:szCs w:val="20"/>
        </w:rPr>
        <w:t>Descriptive Statistics Post-test in Control Class</w:t>
      </w:r>
    </w:p>
    <w:tbl>
      <w:tblPr>
        <w:tblStyle w:val="a4"/>
        <w:tblW w:w="9072"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1418"/>
        <w:gridCol w:w="1134"/>
        <w:gridCol w:w="992"/>
        <w:gridCol w:w="1134"/>
        <w:gridCol w:w="1134"/>
        <w:gridCol w:w="992"/>
        <w:gridCol w:w="1134"/>
        <w:gridCol w:w="1134"/>
      </w:tblGrid>
      <w:tr w:rsidR="0017726E" w:rsidRPr="00CA37FC" w14:paraId="6DDA7A89" w14:textId="77777777" w:rsidTr="000A0959">
        <w:trPr>
          <w:cnfStyle w:val="100000000000" w:firstRow="1" w:lastRow="0" w:firstColumn="0" w:lastColumn="0" w:oddVBand="0" w:evenVBand="0" w:oddHBand="0" w:evenHBand="0" w:firstRowFirstColumn="0" w:firstRowLastColumn="0" w:lastRowFirstColumn="0" w:lastRowLastColumn="0"/>
          <w:cantSplit/>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1428059C" w14:textId="77777777" w:rsidR="0017726E" w:rsidRPr="00CA37FC" w:rsidRDefault="0017726E" w:rsidP="00A1223B">
            <w:pPr>
              <w:jc w:val="both"/>
              <w:rPr>
                <w:rFonts w:ascii="Times New Roman" w:hAnsi="Times New Roman" w:cs="Times New Roman"/>
                <w:sz w:val="18"/>
                <w:szCs w:val="18"/>
              </w:rPr>
            </w:pPr>
          </w:p>
        </w:tc>
        <w:tc>
          <w:tcPr>
            <w:tcW w:w="1134" w:type="dxa"/>
          </w:tcPr>
          <w:p w14:paraId="5E6BE61F" w14:textId="77777777" w:rsidR="0017726E" w:rsidRPr="00CA37FC" w:rsidRDefault="00000000" w:rsidP="000A0959">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N Statistics</w:t>
            </w:r>
          </w:p>
        </w:tc>
        <w:tc>
          <w:tcPr>
            <w:tcW w:w="992" w:type="dxa"/>
          </w:tcPr>
          <w:p w14:paraId="6C6812CB" w14:textId="77777777" w:rsidR="0017726E" w:rsidRPr="00CA37FC" w:rsidRDefault="00000000" w:rsidP="00CA37FC">
            <w:pPr>
              <w:ind w:left="12"/>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Range Statistics</w:t>
            </w:r>
          </w:p>
        </w:tc>
        <w:tc>
          <w:tcPr>
            <w:tcW w:w="1134" w:type="dxa"/>
          </w:tcPr>
          <w:p w14:paraId="6FA5E649" w14:textId="77777777" w:rsidR="0017726E" w:rsidRPr="00CA37FC" w:rsidRDefault="00000000" w:rsidP="00CA37FC">
            <w:pPr>
              <w:ind w:right="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Minimum Statistics</w:t>
            </w:r>
          </w:p>
        </w:tc>
        <w:tc>
          <w:tcPr>
            <w:tcW w:w="1134" w:type="dxa"/>
          </w:tcPr>
          <w:p w14:paraId="4A807821"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Maximum Statistics</w:t>
            </w:r>
          </w:p>
        </w:tc>
        <w:tc>
          <w:tcPr>
            <w:tcW w:w="992" w:type="dxa"/>
          </w:tcPr>
          <w:p w14:paraId="3D8D5C56" w14:textId="77777777" w:rsidR="0017726E" w:rsidRPr="00CA37FC" w:rsidRDefault="00000000" w:rsidP="00CA37FC">
            <w:pPr>
              <w:ind w:left="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Mean Statistics</w:t>
            </w:r>
          </w:p>
        </w:tc>
        <w:tc>
          <w:tcPr>
            <w:tcW w:w="1134" w:type="dxa"/>
          </w:tcPr>
          <w:p w14:paraId="731C1A9E" w14:textId="77777777" w:rsidR="0017726E" w:rsidRPr="00CA37FC" w:rsidRDefault="00000000" w:rsidP="00CA37F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Error Statistics</w:t>
            </w:r>
          </w:p>
        </w:tc>
        <w:tc>
          <w:tcPr>
            <w:tcW w:w="1134" w:type="dxa"/>
          </w:tcPr>
          <w:p w14:paraId="18361543" w14:textId="77777777" w:rsidR="0017726E" w:rsidRPr="00CA37FC" w:rsidRDefault="00000000" w:rsidP="00CA37FC">
            <w:pPr>
              <w:ind w:left="51" w:right="3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Std. Deviation Statistics</w:t>
            </w:r>
          </w:p>
        </w:tc>
      </w:tr>
      <w:tr w:rsidR="00CA37FC" w:rsidRPr="00CA37FC" w14:paraId="77DC6359" w14:textId="77777777" w:rsidTr="000A0959">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1877BE7F" w14:textId="77777777" w:rsidR="000A0959" w:rsidRDefault="00000000" w:rsidP="000A0959">
            <w:pPr>
              <w:rPr>
                <w:rFonts w:ascii="Times New Roman" w:hAnsi="Times New Roman" w:cs="Times New Roman"/>
                <w:b w:val="0"/>
                <w:sz w:val="18"/>
                <w:szCs w:val="18"/>
              </w:rPr>
            </w:pPr>
            <w:r w:rsidRPr="00CA37FC">
              <w:rPr>
                <w:rFonts w:ascii="Times New Roman" w:hAnsi="Times New Roman" w:cs="Times New Roman"/>
                <w:sz w:val="18"/>
                <w:szCs w:val="18"/>
              </w:rPr>
              <w:t xml:space="preserve">Listening in Detail </w:t>
            </w:r>
          </w:p>
          <w:p w14:paraId="719BD9BF" w14:textId="5806D073" w:rsidR="0017726E" w:rsidRPr="00CA37FC" w:rsidRDefault="00000000" w:rsidP="000A0959">
            <w:pPr>
              <w:rPr>
                <w:rFonts w:ascii="Times New Roman" w:hAnsi="Times New Roman" w:cs="Times New Roman"/>
                <w:sz w:val="18"/>
                <w:szCs w:val="18"/>
              </w:rPr>
            </w:pPr>
            <w:r w:rsidRPr="00CA37FC">
              <w:rPr>
                <w:rFonts w:ascii="Times New Roman" w:hAnsi="Times New Roman" w:cs="Times New Roman"/>
                <w:sz w:val="18"/>
                <w:szCs w:val="18"/>
              </w:rPr>
              <w:t>(post-test)</w:t>
            </w:r>
          </w:p>
        </w:tc>
        <w:tc>
          <w:tcPr>
            <w:tcW w:w="1134" w:type="dxa"/>
          </w:tcPr>
          <w:p w14:paraId="02FD5785"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4C1348C8"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60</w:t>
            </w:r>
          </w:p>
        </w:tc>
        <w:tc>
          <w:tcPr>
            <w:tcW w:w="1134" w:type="dxa"/>
          </w:tcPr>
          <w:p w14:paraId="1ADBF4BB"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30</w:t>
            </w:r>
          </w:p>
        </w:tc>
        <w:tc>
          <w:tcPr>
            <w:tcW w:w="1134" w:type="dxa"/>
          </w:tcPr>
          <w:p w14:paraId="03486CC6"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90</w:t>
            </w:r>
          </w:p>
        </w:tc>
        <w:tc>
          <w:tcPr>
            <w:tcW w:w="992" w:type="dxa"/>
          </w:tcPr>
          <w:p w14:paraId="0C819C4F"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71.43</w:t>
            </w:r>
          </w:p>
        </w:tc>
        <w:tc>
          <w:tcPr>
            <w:tcW w:w="1134" w:type="dxa"/>
          </w:tcPr>
          <w:p w14:paraId="635634E7"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2.845</w:t>
            </w:r>
          </w:p>
        </w:tc>
        <w:tc>
          <w:tcPr>
            <w:tcW w:w="1134" w:type="dxa"/>
          </w:tcPr>
          <w:p w14:paraId="7D386735" w14:textId="77777777" w:rsidR="0017726E" w:rsidRPr="00CA37FC"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16.828</w:t>
            </w:r>
          </w:p>
        </w:tc>
      </w:tr>
      <w:tr w:rsidR="0017726E" w:rsidRPr="00CA37FC" w14:paraId="2FCE0044" w14:textId="77777777" w:rsidTr="000A0959">
        <w:trPr>
          <w:trHeight w:val="20"/>
          <w:jc w:val="center"/>
        </w:trPr>
        <w:tc>
          <w:tcPr>
            <w:cnfStyle w:val="001000000000" w:firstRow="0" w:lastRow="0" w:firstColumn="1" w:lastColumn="0" w:oddVBand="0" w:evenVBand="0" w:oddHBand="0" w:evenHBand="0" w:firstRowFirstColumn="0" w:firstRowLastColumn="0" w:lastRowFirstColumn="0" w:lastRowLastColumn="0"/>
            <w:tcW w:w="1418" w:type="dxa"/>
          </w:tcPr>
          <w:p w14:paraId="5CDC3A5A" w14:textId="77777777" w:rsidR="0017726E" w:rsidRPr="00CA37FC" w:rsidRDefault="00000000" w:rsidP="000A0959">
            <w:pPr>
              <w:rPr>
                <w:rFonts w:ascii="Times New Roman" w:hAnsi="Times New Roman" w:cs="Times New Roman"/>
                <w:sz w:val="18"/>
                <w:szCs w:val="18"/>
              </w:rPr>
            </w:pPr>
            <w:r w:rsidRPr="00CA37FC">
              <w:rPr>
                <w:rFonts w:ascii="Times New Roman" w:hAnsi="Times New Roman" w:cs="Times New Roman"/>
                <w:sz w:val="18"/>
                <w:szCs w:val="18"/>
              </w:rPr>
              <w:t>Valid N (listwise)</w:t>
            </w:r>
          </w:p>
        </w:tc>
        <w:tc>
          <w:tcPr>
            <w:tcW w:w="1134" w:type="dxa"/>
          </w:tcPr>
          <w:p w14:paraId="07B773A1" w14:textId="77777777" w:rsidR="0017726E" w:rsidRPr="00CA37FC"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A37FC">
              <w:rPr>
                <w:rFonts w:ascii="Times New Roman" w:hAnsi="Times New Roman" w:cs="Times New Roman"/>
                <w:sz w:val="18"/>
                <w:szCs w:val="18"/>
              </w:rPr>
              <w:t>35</w:t>
            </w:r>
          </w:p>
        </w:tc>
        <w:tc>
          <w:tcPr>
            <w:tcW w:w="992" w:type="dxa"/>
          </w:tcPr>
          <w:p w14:paraId="23DB8E4E"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38EEFD42"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4376AC49"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2" w:type="dxa"/>
          </w:tcPr>
          <w:p w14:paraId="3ABC4828"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642905FD"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34" w:type="dxa"/>
          </w:tcPr>
          <w:p w14:paraId="14D7A47D" w14:textId="77777777" w:rsidR="0017726E" w:rsidRPr="00CA37FC" w:rsidRDefault="0017726E"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bl>
    <w:p w14:paraId="1AD8BF85" w14:textId="77777777" w:rsidR="00606915" w:rsidRDefault="00606915" w:rsidP="00CA37FC">
      <w:pPr>
        <w:ind w:firstLine="567"/>
        <w:jc w:val="both"/>
        <w:rPr>
          <w:sz w:val="22"/>
          <w:szCs w:val="22"/>
        </w:rPr>
        <w:sectPr w:rsidR="00606915" w:rsidSect="00C33625">
          <w:type w:val="continuous"/>
          <w:pgSz w:w="11907" w:h="16840"/>
          <w:pgMar w:top="1531" w:right="1418" w:bottom="1418" w:left="1418" w:header="851" w:footer="454" w:gutter="0"/>
          <w:pgNumType w:start="3546"/>
          <w:cols w:space="425"/>
          <w:docGrid w:linePitch="326"/>
        </w:sectPr>
      </w:pPr>
    </w:p>
    <w:p w14:paraId="0CECF4AB" w14:textId="5ACCB974" w:rsidR="0017726E" w:rsidRDefault="00000000" w:rsidP="00CA37FC">
      <w:pPr>
        <w:ind w:firstLine="567"/>
        <w:jc w:val="both"/>
        <w:rPr>
          <w:sz w:val="22"/>
          <w:szCs w:val="22"/>
        </w:rPr>
      </w:pPr>
      <w:r w:rsidRPr="00A1223B">
        <w:rPr>
          <w:sz w:val="22"/>
          <w:szCs w:val="22"/>
        </w:rPr>
        <w:lastRenderedPageBreak/>
        <w:t>According to Table 5, the control class achieved scores between 30 and 90, with a mean of 71.43. The standard deviation was 16.828, showing variation among students’ results, and the standard error of 2.845 reflected the accuracy of the mean. Although the control group showed progress, the improvement was less striking compared to the experimental class, underscoring the effectiveness of the intervention.</w:t>
      </w:r>
    </w:p>
    <w:p w14:paraId="44E57601" w14:textId="77777777" w:rsidR="00CA37FC" w:rsidRPr="00A1223B" w:rsidRDefault="00CA37FC" w:rsidP="00CA37FC">
      <w:pPr>
        <w:ind w:firstLine="567"/>
        <w:jc w:val="both"/>
        <w:rPr>
          <w:sz w:val="22"/>
          <w:szCs w:val="22"/>
        </w:rPr>
      </w:pPr>
    </w:p>
    <w:p w14:paraId="7972EDEE" w14:textId="77777777" w:rsidR="0017726E" w:rsidRPr="00A1223B" w:rsidRDefault="00000000" w:rsidP="000A0959">
      <w:pPr>
        <w:jc w:val="both"/>
        <w:rPr>
          <w:b/>
          <w:i/>
          <w:sz w:val="22"/>
          <w:szCs w:val="22"/>
        </w:rPr>
      </w:pPr>
      <w:r w:rsidRPr="00A1223B">
        <w:rPr>
          <w:b/>
          <w:i/>
          <w:sz w:val="22"/>
          <w:szCs w:val="22"/>
        </w:rPr>
        <w:t>Normality Test</w:t>
      </w:r>
    </w:p>
    <w:p w14:paraId="491EAAF0" w14:textId="77777777" w:rsidR="0017726E" w:rsidRDefault="00000000" w:rsidP="0093328F">
      <w:pPr>
        <w:ind w:firstLine="567"/>
        <w:jc w:val="both"/>
        <w:rPr>
          <w:sz w:val="22"/>
          <w:szCs w:val="22"/>
        </w:rPr>
      </w:pPr>
      <w:r w:rsidRPr="00A1223B">
        <w:rPr>
          <w:sz w:val="22"/>
          <w:szCs w:val="22"/>
        </w:rPr>
        <w:t>To test whether the data followed a normal distribution, the Shapiro-Wilk test was applied, which is suitable for small sample sizes. The results for both experimental and control classes are summarized in Table 6.</w:t>
      </w:r>
    </w:p>
    <w:p w14:paraId="08380685" w14:textId="77777777" w:rsidR="00606915" w:rsidRDefault="00606915" w:rsidP="0093328F">
      <w:pPr>
        <w:ind w:firstLine="567"/>
        <w:jc w:val="both"/>
        <w:rPr>
          <w:sz w:val="22"/>
          <w:szCs w:val="22"/>
        </w:rPr>
        <w:sectPr w:rsidR="00606915" w:rsidSect="001B4243">
          <w:type w:val="continuous"/>
          <w:pgSz w:w="11907" w:h="16840"/>
          <w:pgMar w:top="1531" w:right="1418" w:bottom="1418" w:left="1418" w:header="851" w:footer="454" w:gutter="0"/>
          <w:pgNumType w:start="3551"/>
          <w:cols w:num="2" w:space="454"/>
          <w:docGrid w:linePitch="326"/>
        </w:sectPr>
      </w:pPr>
    </w:p>
    <w:p w14:paraId="38908D2F" w14:textId="77777777" w:rsidR="0017726E" w:rsidRPr="000A0959" w:rsidRDefault="00000000" w:rsidP="000A0959">
      <w:pPr>
        <w:spacing w:line="276" w:lineRule="auto"/>
        <w:jc w:val="center"/>
        <w:rPr>
          <w:bCs/>
          <w:sz w:val="20"/>
          <w:szCs w:val="20"/>
        </w:rPr>
      </w:pPr>
      <w:r w:rsidRPr="000A0959">
        <w:rPr>
          <w:b/>
          <w:sz w:val="20"/>
          <w:szCs w:val="20"/>
        </w:rPr>
        <w:t xml:space="preserve">Table 6. </w:t>
      </w:r>
      <w:r w:rsidRPr="000A0959">
        <w:rPr>
          <w:bCs/>
          <w:sz w:val="20"/>
          <w:szCs w:val="20"/>
        </w:rPr>
        <w:t>Normality Test</w:t>
      </w:r>
    </w:p>
    <w:tbl>
      <w:tblPr>
        <w:tblStyle w:val="a5"/>
        <w:tblW w:w="8931"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3969"/>
        <w:gridCol w:w="2552"/>
        <w:gridCol w:w="1134"/>
        <w:gridCol w:w="1276"/>
      </w:tblGrid>
      <w:tr w:rsidR="0017726E" w:rsidRPr="000A0959" w14:paraId="0DC6D3C9" w14:textId="77777777" w:rsidTr="000A09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tcPr>
          <w:p w14:paraId="1C850F4E"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sz w:val="20"/>
                <w:szCs w:val="20"/>
              </w:rPr>
              <w:t>Result</w:t>
            </w:r>
          </w:p>
        </w:tc>
        <w:tc>
          <w:tcPr>
            <w:tcW w:w="2552" w:type="dxa"/>
          </w:tcPr>
          <w:p w14:paraId="37A8E4E6"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Shapiro-Wilk Statistics</w:t>
            </w:r>
          </w:p>
        </w:tc>
        <w:tc>
          <w:tcPr>
            <w:tcW w:w="1134" w:type="dxa"/>
          </w:tcPr>
          <w:p w14:paraId="656222EB"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df</w:t>
            </w:r>
          </w:p>
        </w:tc>
        <w:tc>
          <w:tcPr>
            <w:tcW w:w="1276" w:type="dxa"/>
          </w:tcPr>
          <w:p w14:paraId="00E289A3"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Sig.</w:t>
            </w:r>
          </w:p>
        </w:tc>
      </w:tr>
      <w:tr w:rsidR="0017726E" w:rsidRPr="000A0959" w14:paraId="6145A649" w14:textId="77777777" w:rsidTr="000A09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1FB787E3"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Pre-test A (Experimental Class)</w:t>
            </w:r>
          </w:p>
        </w:tc>
        <w:tc>
          <w:tcPr>
            <w:tcW w:w="2552" w:type="dxa"/>
            <w:shd w:val="clear" w:color="auto" w:fill="auto"/>
          </w:tcPr>
          <w:p w14:paraId="5EE4C17A"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0.872</w:t>
            </w:r>
          </w:p>
        </w:tc>
        <w:tc>
          <w:tcPr>
            <w:tcW w:w="1134" w:type="dxa"/>
            <w:shd w:val="clear" w:color="auto" w:fill="auto"/>
          </w:tcPr>
          <w:p w14:paraId="08DF5BC0"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1276" w:type="dxa"/>
            <w:shd w:val="clear" w:color="auto" w:fill="auto"/>
          </w:tcPr>
          <w:p w14:paraId="7BCF7843"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0.001</w:t>
            </w:r>
          </w:p>
        </w:tc>
      </w:tr>
      <w:tr w:rsidR="0017726E" w:rsidRPr="000A0959" w14:paraId="7E456C60" w14:textId="77777777" w:rsidTr="000A0959">
        <w:trPr>
          <w:jc w:val="center"/>
        </w:trPr>
        <w:tc>
          <w:tcPr>
            <w:cnfStyle w:val="001000000000" w:firstRow="0" w:lastRow="0" w:firstColumn="1" w:lastColumn="0" w:oddVBand="0" w:evenVBand="0" w:oddHBand="0" w:evenHBand="0" w:firstRowFirstColumn="0" w:firstRowLastColumn="0" w:lastRowFirstColumn="0" w:lastRowLastColumn="0"/>
            <w:tcW w:w="3969" w:type="dxa"/>
          </w:tcPr>
          <w:p w14:paraId="480939C7"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Post-test A (Experimental Class)</w:t>
            </w:r>
          </w:p>
        </w:tc>
        <w:tc>
          <w:tcPr>
            <w:tcW w:w="2552" w:type="dxa"/>
          </w:tcPr>
          <w:p w14:paraId="24FA596B"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0.850</w:t>
            </w:r>
          </w:p>
        </w:tc>
        <w:tc>
          <w:tcPr>
            <w:tcW w:w="1134" w:type="dxa"/>
          </w:tcPr>
          <w:p w14:paraId="33451458"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1276" w:type="dxa"/>
          </w:tcPr>
          <w:p w14:paraId="7C2A4FD4"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0.000</w:t>
            </w:r>
          </w:p>
        </w:tc>
      </w:tr>
      <w:tr w:rsidR="0017726E" w:rsidRPr="000A0959" w14:paraId="10D53D35" w14:textId="77777777" w:rsidTr="000A09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485BA286"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Pre-test B (Control Class)</w:t>
            </w:r>
          </w:p>
        </w:tc>
        <w:tc>
          <w:tcPr>
            <w:tcW w:w="2552" w:type="dxa"/>
            <w:shd w:val="clear" w:color="auto" w:fill="auto"/>
          </w:tcPr>
          <w:p w14:paraId="7E76CE0F"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0.907</w:t>
            </w:r>
          </w:p>
        </w:tc>
        <w:tc>
          <w:tcPr>
            <w:tcW w:w="1134" w:type="dxa"/>
            <w:shd w:val="clear" w:color="auto" w:fill="auto"/>
          </w:tcPr>
          <w:p w14:paraId="2ECC1E6B"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1276" w:type="dxa"/>
            <w:shd w:val="clear" w:color="auto" w:fill="auto"/>
          </w:tcPr>
          <w:p w14:paraId="67B7CA35"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0.006</w:t>
            </w:r>
          </w:p>
        </w:tc>
      </w:tr>
      <w:tr w:rsidR="0017726E" w:rsidRPr="000A0959" w14:paraId="0C06851D" w14:textId="77777777" w:rsidTr="000A0959">
        <w:trPr>
          <w:jc w:val="center"/>
        </w:trPr>
        <w:tc>
          <w:tcPr>
            <w:cnfStyle w:val="001000000000" w:firstRow="0" w:lastRow="0" w:firstColumn="1" w:lastColumn="0" w:oddVBand="0" w:evenVBand="0" w:oddHBand="0" w:evenHBand="0" w:firstRowFirstColumn="0" w:firstRowLastColumn="0" w:lastRowFirstColumn="0" w:lastRowLastColumn="0"/>
            <w:tcW w:w="3969" w:type="dxa"/>
          </w:tcPr>
          <w:p w14:paraId="5F99C795"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Post-test B (Control Class)</w:t>
            </w:r>
          </w:p>
        </w:tc>
        <w:tc>
          <w:tcPr>
            <w:tcW w:w="2552" w:type="dxa"/>
          </w:tcPr>
          <w:p w14:paraId="298A9B36"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0.889</w:t>
            </w:r>
          </w:p>
        </w:tc>
        <w:tc>
          <w:tcPr>
            <w:tcW w:w="1134" w:type="dxa"/>
          </w:tcPr>
          <w:p w14:paraId="457138AA"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1276" w:type="dxa"/>
          </w:tcPr>
          <w:p w14:paraId="2397A7A1"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0.002</w:t>
            </w:r>
          </w:p>
        </w:tc>
      </w:tr>
      <w:tr w:rsidR="0017726E" w:rsidRPr="000A0959" w14:paraId="66899BD6" w14:textId="77777777" w:rsidTr="000A09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auto"/>
          </w:tcPr>
          <w:p w14:paraId="712D50CB"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a. Lilliefors Significance Correction</w:t>
            </w:r>
          </w:p>
        </w:tc>
        <w:tc>
          <w:tcPr>
            <w:tcW w:w="2552" w:type="dxa"/>
            <w:shd w:val="clear" w:color="auto" w:fill="auto"/>
          </w:tcPr>
          <w:p w14:paraId="728182D7" w14:textId="77777777" w:rsidR="0017726E" w:rsidRPr="000A0959" w:rsidRDefault="0017726E"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shd w:val="clear" w:color="auto" w:fill="auto"/>
          </w:tcPr>
          <w:p w14:paraId="6D855F20" w14:textId="77777777" w:rsidR="0017726E" w:rsidRPr="000A0959" w:rsidRDefault="0017726E"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276" w:type="dxa"/>
            <w:shd w:val="clear" w:color="auto" w:fill="auto"/>
          </w:tcPr>
          <w:p w14:paraId="309F338E" w14:textId="77777777" w:rsidR="0017726E" w:rsidRPr="000A0959" w:rsidRDefault="0017726E"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82C44FF" w14:textId="77777777" w:rsidR="0017726E" w:rsidRPr="00A1223B" w:rsidRDefault="0017726E" w:rsidP="000A0959">
      <w:pPr>
        <w:ind w:firstLine="567"/>
        <w:jc w:val="both"/>
        <w:rPr>
          <w:sz w:val="22"/>
          <w:szCs w:val="22"/>
        </w:rPr>
      </w:pPr>
    </w:p>
    <w:p w14:paraId="685ECE71" w14:textId="77777777" w:rsidR="00606915" w:rsidRDefault="00606915" w:rsidP="000A0959">
      <w:pPr>
        <w:ind w:firstLine="567"/>
        <w:jc w:val="both"/>
        <w:rPr>
          <w:sz w:val="22"/>
          <w:szCs w:val="22"/>
        </w:rPr>
        <w:sectPr w:rsidR="00606915" w:rsidSect="00C33625">
          <w:type w:val="continuous"/>
          <w:pgSz w:w="11907" w:h="16840"/>
          <w:pgMar w:top="1531" w:right="1418" w:bottom="1418" w:left="1418" w:header="851" w:footer="454" w:gutter="0"/>
          <w:pgNumType w:start="3546"/>
          <w:cols w:space="425"/>
          <w:docGrid w:linePitch="326"/>
        </w:sectPr>
      </w:pPr>
    </w:p>
    <w:p w14:paraId="655FC5D3" w14:textId="77777777" w:rsidR="0017726E" w:rsidRDefault="00000000" w:rsidP="000A0959">
      <w:pPr>
        <w:ind w:firstLine="567"/>
        <w:jc w:val="both"/>
        <w:rPr>
          <w:sz w:val="22"/>
          <w:szCs w:val="22"/>
        </w:rPr>
      </w:pPr>
      <w:r w:rsidRPr="00A1223B">
        <w:rPr>
          <w:sz w:val="22"/>
          <w:szCs w:val="22"/>
        </w:rPr>
        <w:t>As shown in Table 6, all significance values are below 0.05, indicating that the data are not normally distributed. Therefore, non-parametric methods were employed. The Wilcoxon Signed-Rank test was used to compare pre-test and post-test within each class, while the Mann-Whitney U test was applied to compare the two independent groups.</w:t>
      </w:r>
    </w:p>
    <w:p w14:paraId="74F8E9AC" w14:textId="77777777" w:rsidR="000A0959" w:rsidRPr="00A1223B" w:rsidRDefault="000A0959" w:rsidP="000A0959">
      <w:pPr>
        <w:ind w:firstLine="567"/>
        <w:jc w:val="both"/>
        <w:rPr>
          <w:sz w:val="22"/>
          <w:szCs w:val="22"/>
        </w:rPr>
      </w:pPr>
    </w:p>
    <w:p w14:paraId="26350BAB" w14:textId="77777777" w:rsidR="0017726E" w:rsidRPr="00A1223B" w:rsidRDefault="00000000" w:rsidP="000A0959">
      <w:pPr>
        <w:jc w:val="both"/>
        <w:rPr>
          <w:b/>
          <w:i/>
          <w:sz w:val="22"/>
          <w:szCs w:val="22"/>
        </w:rPr>
      </w:pPr>
      <w:r w:rsidRPr="00A1223B">
        <w:rPr>
          <w:b/>
          <w:i/>
          <w:sz w:val="22"/>
          <w:szCs w:val="22"/>
        </w:rPr>
        <w:t>Homogeneity Test</w:t>
      </w:r>
    </w:p>
    <w:p w14:paraId="5C0D54B2" w14:textId="77777777" w:rsidR="0017726E" w:rsidRDefault="00000000" w:rsidP="000A0959">
      <w:pPr>
        <w:ind w:firstLine="567"/>
        <w:jc w:val="both"/>
        <w:rPr>
          <w:sz w:val="22"/>
          <w:szCs w:val="22"/>
        </w:rPr>
      </w:pPr>
      <w:r w:rsidRPr="00A1223B">
        <w:rPr>
          <w:sz w:val="22"/>
          <w:szCs w:val="22"/>
        </w:rPr>
        <w:t>To ensure the validity of the quasi-experimental design, a homogeneity test was carried out to check the equality of variances between the experimental and control classes. The results are displayed in Table 7.</w:t>
      </w:r>
    </w:p>
    <w:p w14:paraId="1822B2C0" w14:textId="77777777" w:rsidR="00606915" w:rsidRDefault="00606915" w:rsidP="000A0959">
      <w:pPr>
        <w:ind w:firstLine="567"/>
        <w:jc w:val="both"/>
        <w:rPr>
          <w:sz w:val="22"/>
          <w:szCs w:val="22"/>
        </w:rPr>
        <w:sectPr w:rsidR="00606915" w:rsidSect="00606915">
          <w:type w:val="continuous"/>
          <w:pgSz w:w="11907" w:h="16840"/>
          <w:pgMar w:top="1531" w:right="1418" w:bottom="1418" w:left="1418" w:header="851" w:footer="454" w:gutter="0"/>
          <w:pgNumType w:start="3546"/>
          <w:cols w:num="2" w:space="454"/>
          <w:docGrid w:linePitch="326"/>
        </w:sectPr>
      </w:pPr>
    </w:p>
    <w:p w14:paraId="067705A3" w14:textId="77777777" w:rsidR="0017726E" w:rsidRPr="000A0959" w:rsidRDefault="00000000" w:rsidP="000A0959">
      <w:pPr>
        <w:spacing w:line="276" w:lineRule="auto"/>
        <w:jc w:val="center"/>
        <w:rPr>
          <w:bCs/>
          <w:sz w:val="20"/>
          <w:szCs w:val="20"/>
        </w:rPr>
      </w:pPr>
      <w:r w:rsidRPr="000A0959">
        <w:rPr>
          <w:b/>
          <w:sz w:val="20"/>
          <w:szCs w:val="20"/>
        </w:rPr>
        <w:t xml:space="preserve">Table 7. </w:t>
      </w:r>
      <w:r w:rsidRPr="000A0959">
        <w:rPr>
          <w:bCs/>
          <w:sz w:val="20"/>
          <w:szCs w:val="20"/>
        </w:rPr>
        <w:t>Homogeneity Test</w:t>
      </w:r>
    </w:p>
    <w:tbl>
      <w:tblPr>
        <w:tblStyle w:val="a6"/>
        <w:tblW w:w="8789" w:type="dxa"/>
        <w:jc w:val="center"/>
        <w:tblInd w:w="0" w:type="dxa"/>
        <w:tblBorders>
          <w:top w:val="single" w:sz="8" w:space="0" w:color="000000"/>
          <w:bottom w:val="single" w:sz="8" w:space="0" w:color="000000"/>
        </w:tblBorders>
        <w:tblLayout w:type="fixed"/>
        <w:tblLook w:val="04A0" w:firstRow="1" w:lastRow="0" w:firstColumn="1" w:lastColumn="0" w:noHBand="0" w:noVBand="1"/>
      </w:tblPr>
      <w:tblGrid>
        <w:gridCol w:w="3544"/>
        <w:gridCol w:w="1843"/>
        <w:gridCol w:w="1134"/>
        <w:gridCol w:w="1134"/>
        <w:gridCol w:w="1134"/>
      </w:tblGrid>
      <w:tr w:rsidR="0017726E" w:rsidRPr="000A0959" w14:paraId="06BC14CF" w14:textId="77777777" w:rsidTr="000A09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14:paraId="1F1FF0F2"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sz w:val="20"/>
                <w:szCs w:val="20"/>
              </w:rPr>
              <w:t>Result</w:t>
            </w:r>
          </w:p>
        </w:tc>
        <w:tc>
          <w:tcPr>
            <w:tcW w:w="1843" w:type="dxa"/>
          </w:tcPr>
          <w:p w14:paraId="276B2645"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Level Statistics</w:t>
            </w:r>
          </w:p>
        </w:tc>
        <w:tc>
          <w:tcPr>
            <w:tcW w:w="1134" w:type="dxa"/>
          </w:tcPr>
          <w:p w14:paraId="54A7DAF0"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df1</w:t>
            </w:r>
          </w:p>
        </w:tc>
        <w:tc>
          <w:tcPr>
            <w:tcW w:w="1134" w:type="dxa"/>
          </w:tcPr>
          <w:p w14:paraId="46871A08"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df2</w:t>
            </w:r>
          </w:p>
        </w:tc>
        <w:tc>
          <w:tcPr>
            <w:tcW w:w="1134" w:type="dxa"/>
          </w:tcPr>
          <w:p w14:paraId="47FE6D83"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Sig.</w:t>
            </w:r>
          </w:p>
        </w:tc>
      </w:tr>
      <w:tr w:rsidR="0017726E" w:rsidRPr="000A0959" w14:paraId="57F687E8" w14:textId="77777777" w:rsidTr="000A09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7876F0FC"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Based on the Mean</w:t>
            </w:r>
          </w:p>
        </w:tc>
        <w:tc>
          <w:tcPr>
            <w:tcW w:w="1843" w:type="dxa"/>
            <w:shd w:val="clear" w:color="auto" w:fill="auto"/>
          </w:tcPr>
          <w:p w14:paraId="0607DEB3"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1.849</w:t>
            </w:r>
          </w:p>
        </w:tc>
        <w:tc>
          <w:tcPr>
            <w:tcW w:w="1134" w:type="dxa"/>
            <w:shd w:val="clear" w:color="auto" w:fill="auto"/>
          </w:tcPr>
          <w:p w14:paraId="76F722E9"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w:t>
            </w:r>
          </w:p>
        </w:tc>
        <w:tc>
          <w:tcPr>
            <w:tcW w:w="1134" w:type="dxa"/>
            <w:shd w:val="clear" w:color="auto" w:fill="auto"/>
          </w:tcPr>
          <w:p w14:paraId="02033318"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68</w:t>
            </w:r>
          </w:p>
        </w:tc>
        <w:tc>
          <w:tcPr>
            <w:tcW w:w="1134" w:type="dxa"/>
            <w:shd w:val="clear" w:color="auto" w:fill="auto"/>
          </w:tcPr>
          <w:p w14:paraId="4FCBC94E"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0.178</w:t>
            </w:r>
          </w:p>
        </w:tc>
      </w:tr>
      <w:tr w:rsidR="0017726E" w:rsidRPr="000A0959" w14:paraId="056200F0" w14:textId="77777777" w:rsidTr="000A0959">
        <w:trPr>
          <w:jc w:val="center"/>
        </w:trPr>
        <w:tc>
          <w:tcPr>
            <w:cnfStyle w:val="001000000000" w:firstRow="0" w:lastRow="0" w:firstColumn="1" w:lastColumn="0" w:oddVBand="0" w:evenVBand="0" w:oddHBand="0" w:evenHBand="0" w:firstRowFirstColumn="0" w:firstRowLastColumn="0" w:lastRowFirstColumn="0" w:lastRowLastColumn="0"/>
            <w:tcW w:w="3544" w:type="dxa"/>
          </w:tcPr>
          <w:p w14:paraId="27C8C692"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Based on the Median</w:t>
            </w:r>
          </w:p>
        </w:tc>
        <w:tc>
          <w:tcPr>
            <w:tcW w:w="1843" w:type="dxa"/>
          </w:tcPr>
          <w:p w14:paraId="5C76891B"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0.613</w:t>
            </w:r>
          </w:p>
        </w:tc>
        <w:tc>
          <w:tcPr>
            <w:tcW w:w="1134" w:type="dxa"/>
          </w:tcPr>
          <w:p w14:paraId="4A76C83E"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w:t>
            </w:r>
          </w:p>
        </w:tc>
        <w:tc>
          <w:tcPr>
            <w:tcW w:w="1134" w:type="dxa"/>
          </w:tcPr>
          <w:p w14:paraId="49ECE0E4"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68</w:t>
            </w:r>
          </w:p>
        </w:tc>
        <w:tc>
          <w:tcPr>
            <w:tcW w:w="1134" w:type="dxa"/>
          </w:tcPr>
          <w:p w14:paraId="1F7C7A06"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0.436</w:t>
            </w:r>
          </w:p>
        </w:tc>
      </w:tr>
      <w:tr w:rsidR="0017726E" w:rsidRPr="000A0959" w14:paraId="1B28B785" w14:textId="77777777" w:rsidTr="000A09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BCAB8FA"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Based on Median and with adjusted df</w:t>
            </w:r>
          </w:p>
        </w:tc>
        <w:tc>
          <w:tcPr>
            <w:tcW w:w="1843" w:type="dxa"/>
            <w:shd w:val="clear" w:color="auto" w:fill="auto"/>
          </w:tcPr>
          <w:p w14:paraId="4B2714BA"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0.613</w:t>
            </w:r>
          </w:p>
        </w:tc>
        <w:tc>
          <w:tcPr>
            <w:tcW w:w="1134" w:type="dxa"/>
            <w:shd w:val="clear" w:color="auto" w:fill="auto"/>
          </w:tcPr>
          <w:p w14:paraId="35530F78"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w:t>
            </w:r>
          </w:p>
        </w:tc>
        <w:tc>
          <w:tcPr>
            <w:tcW w:w="1134" w:type="dxa"/>
            <w:shd w:val="clear" w:color="auto" w:fill="auto"/>
          </w:tcPr>
          <w:p w14:paraId="4E8537A6"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55.623</w:t>
            </w:r>
          </w:p>
        </w:tc>
        <w:tc>
          <w:tcPr>
            <w:tcW w:w="1134" w:type="dxa"/>
            <w:shd w:val="clear" w:color="auto" w:fill="auto"/>
          </w:tcPr>
          <w:p w14:paraId="67B4B8F7"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0.437</w:t>
            </w:r>
          </w:p>
        </w:tc>
      </w:tr>
      <w:tr w:rsidR="0017726E" w:rsidRPr="000A0959" w14:paraId="1348F305" w14:textId="77777777" w:rsidTr="000A0959">
        <w:trPr>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000000"/>
            </w:tcBorders>
          </w:tcPr>
          <w:p w14:paraId="0415305A"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Based on the Trimmed Mean</w:t>
            </w:r>
          </w:p>
        </w:tc>
        <w:tc>
          <w:tcPr>
            <w:tcW w:w="1843" w:type="dxa"/>
            <w:tcBorders>
              <w:bottom w:val="single" w:sz="4" w:space="0" w:color="000000"/>
            </w:tcBorders>
          </w:tcPr>
          <w:p w14:paraId="3BECA7AA"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1.356</w:t>
            </w:r>
          </w:p>
        </w:tc>
        <w:tc>
          <w:tcPr>
            <w:tcW w:w="1134" w:type="dxa"/>
            <w:tcBorders>
              <w:bottom w:val="single" w:sz="4" w:space="0" w:color="000000"/>
            </w:tcBorders>
          </w:tcPr>
          <w:p w14:paraId="00E8FCBA"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w:t>
            </w:r>
          </w:p>
        </w:tc>
        <w:tc>
          <w:tcPr>
            <w:tcW w:w="1134" w:type="dxa"/>
            <w:tcBorders>
              <w:bottom w:val="single" w:sz="4" w:space="0" w:color="000000"/>
            </w:tcBorders>
          </w:tcPr>
          <w:p w14:paraId="0534287E"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68</w:t>
            </w:r>
          </w:p>
        </w:tc>
        <w:tc>
          <w:tcPr>
            <w:tcW w:w="1134" w:type="dxa"/>
            <w:tcBorders>
              <w:bottom w:val="single" w:sz="4" w:space="0" w:color="000000"/>
            </w:tcBorders>
          </w:tcPr>
          <w:p w14:paraId="3D0210BD"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0.248</w:t>
            </w:r>
          </w:p>
        </w:tc>
      </w:tr>
    </w:tbl>
    <w:p w14:paraId="709FBE8F" w14:textId="77777777" w:rsidR="0017726E" w:rsidRPr="00A1223B" w:rsidRDefault="0017726E" w:rsidP="000A0959">
      <w:pPr>
        <w:ind w:firstLine="567"/>
        <w:jc w:val="both"/>
        <w:rPr>
          <w:sz w:val="22"/>
          <w:szCs w:val="22"/>
        </w:rPr>
      </w:pPr>
    </w:p>
    <w:p w14:paraId="5065CEB1" w14:textId="77777777" w:rsidR="00BE30D6" w:rsidRDefault="00BE30D6" w:rsidP="000A0959">
      <w:pPr>
        <w:ind w:firstLine="567"/>
        <w:jc w:val="both"/>
        <w:rPr>
          <w:sz w:val="22"/>
          <w:szCs w:val="22"/>
        </w:rPr>
        <w:sectPr w:rsidR="00BE30D6" w:rsidSect="00C33625">
          <w:type w:val="continuous"/>
          <w:pgSz w:w="11907" w:h="16840"/>
          <w:pgMar w:top="1531" w:right="1418" w:bottom="1418" w:left="1418" w:header="851" w:footer="454" w:gutter="0"/>
          <w:pgNumType w:start="3546"/>
          <w:cols w:space="425"/>
          <w:docGrid w:linePitch="326"/>
        </w:sectPr>
      </w:pPr>
    </w:p>
    <w:p w14:paraId="3B5E798C" w14:textId="77777777" w:rsidR="0017726E" w:rsidRDefault="00000000" w:rsidP="000A0959">
      <w:pPr>
        <w:ind w:firstLine="567"/>
        <w:jc w:val="both"/>
        <w:rPr>
          <w:sz w:val="22"/>
          <w:szCs w:val="22"/>
        </w:rPr>
      </w:pPr>
      <w:r w:rsidRPr="00A1223B">
        <w:rPr>
          <w:sz w:val="22"/>
          <w:szCs w:val="22"/>
        </w:rPr>
        <w:t>As shown in Table 7, all significance values are above 0.05, which means the data meet the assumption of homogeneity of variances. This confirms that the experimental and control groups are comparable in terms of variance.</w:t>
      </w:r>
    </w:p>
    <w:p w14:paraId="44500B6F" w14:textId="77777777" w:rsidR="000A0959" w:rsidRPr="00A1223B" w:rsidRDefault="000A0959" w:rsidP="000A0959">
      <w:pPr>
        <w:ind w:firstLine="567"/>
        <w:jc w:val="both"/>
        <w:rPr>
          <w:sz w:val="22"/>
          <w:szCs w:val="22"/>
        </w:rPr>
      </w:pPr>
    </w:p>
    <w:p w14:paraId="3269C49B" w14:textId="77777777" w:rsidR="0017726E" w:rsidRPr="00A1223B" w:rsidRDefault="00000000" w:rsidP="000A0959">
      <w:pPr>
        <w:jc w:val="both"/>
        <w:rPr>
          <w:b/>
          <w:i/>
          <w:sz w:val="22"/>
          <w:szCs w:val="22"/>
        </w:rPr>
      </w:pPr>
      <w:r w:rsidRPr="00A1223B">
        <w:rPr>
          <w:b/>
          <w:i/>
          <w:sz w:val="22"/>
          <w:szCs w:val="22"/>
        </w:rPr>
        <w:t>Hypothesis Testing</w:t>
      </w:r>
    </w:p>
    <w:p w14:paraId="1EA8327F" w14:textId="77777777" w:rsidR="0017726E" w:rsidRDefault="00000000" w:rsidP="000A0959">
      <w:pPr>
        <w:ind w:firstLine="567"/>
        <w:jc w:val="both"/>
        <w:rPr>
          <w:sz w:val="22"/>
          <w:szCs w:val="22"/>
        </w:rPr>
      </w:pPr>
      <w:r w:rsidRPr="00A1223B">
        <w:rPr>
          <w:sz w:val="22"/>
          <w:szCs w:val="22"/>
        </w:rPr>
        <w:t>After confirming homogeneity, hypothesis testing was conducted using non-parametric methods, since the normality assumption was not fulfilled. The Wilcoxon Signed-Rank test was used for paired data, while the Mann-Whitney U test was applied to compare the two independent groups. The results are summarized in Tables 8 and 9.</w:t>
      </w:r>
    </w:p>
    <w:p w14:paraId="35A5F0DA" w14:textId="1FEF2369" w:rsidR="0017726E" w:rsidRPr="000A0959" w:rsidRDefault="00000000" w:rsidP="00BE30D6">
      <w:pPr>
        <w:spacing w:line="276" w:lineRule="auto"/>
        <w:jc w:val="center"/>
        <w:rPr>
          <w:sz w:val="20"/>
          <w:szCs w:val="20"/>
        </w:rPr>
      </w:pPr>
      <w:r w:rsidRPr="000A0959">
        <w:rPr>
          <w:b/>
          <w:sz w:val="20"/>
          <w:szCs w:val="20"/>
        </w:rPr>
        <w:t>Table 8.</w:t>
      </w:r>
      <w:r w:rsidR="004C61D8" w:rsidRPr="000A0959">
        <w:rPr>
          <w:b/>
          <w:sz w:val="20"/>
          <w:szCs w:val="20"/>
        </w:rPr>
        <w:t xml:space="preserve"> </w:t>
      </w:r>
      <w:r w:rsidR="004C61D8" w:rsidRPr="000A0959">
        <w:rPr>
          <w:bCs/>
          <w:sz w:val="20"/>
          <w:szCs w:val="20"/>
        </w:rPr>
        <w:t>Mann-Whitney Rank Test</w:t>
      </w:r>
    </w:p>
    <w:tbl>
      <w:tblPr>
        <w:tblStyle w:val="a7"/>
        <w:tblW w:w="4253" w:type="dxa"/>
        <w:tblInd w:w="0" w:type="dxa"/>
        <w:tblBorders>
          <w:top w:val="single" w:sz="8" w:space="0" w:color="000000"/>
          <w:bottom w:val="single" w:sz="8" w:space="0" w:color="000000"/>
        </w:tblBorders>
        <w:tblLayout w:type="fixed"/>
        <w:tblLook w:val="04A0" w:firstRow="1" w:lastRow="0" w:firstColumn="1" w:lastColumn="0" w:noHBand="0" w:noVBand="1"/>
      </w:tblPr>
      <w:tblGrid>
        <w:gridCol w:w="1843"/>
        <w:gridCol w:w="567"/>
        <w:gridCol w:w="709"/>
        <w:gridCol w:w="1134"/>
      </w:tblGrid>
      <w:tr w:rsidR="0017726E" w:rsidRPr="000A0959" w14:paraId="3637C710" w14:textId="77777777" w:rsidTr="00BE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A15B64F"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sz w:val="20"/>
                <w:szCs w:val="20"/>
              </w:rPr>
              <w:t>Class</w:t>
            </w:r>
          </w:p>
        </w:tc>
        <w:tc>
          <w:tcPr>
            <w:tcW w:w="567" w:type="dxa"/>
          </w:tcPr>
          <w:p w14:paraId="6DFFC9BE"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N</w:t>
            </w:r>
          </w:p>
        </w:tc>
        <w:tc>
          <w:tcPr>
            <w:tcW w:w="709" w:type="dxa"/>
          </w:tcPr>
          <w:p w14:paraId="08EB5E16"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Mean Rank</w:t>
            </w:r>
          </w:p>
        </w:tc>
        <w:tc>
          <w:tcPr>
            <w:tcW w:w="1134" w:type="dxa"/>
          </w:tcPr>
          <w:p w14:paraId="4885205F"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Sum of Ranks</w:t>
            </w:r>
          </w:p>
        </w:tc>
      </w:tr>
      <w:tr w:rsidR="000A0959" w:rsidRPr="000A0959" w14:paraId="551A2676" w14:textId="77777777" w:rsidTr="00BE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FC34F25" w14:textId="77777777" w:rsid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 xml:space="preserve">Control Class </w:t>
            </w:r>
          </w:p>
          <w:p w14:paraId="14DC6F88" w14:textId="627AE580"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(Post-test)</w:t>
            </w:r>
          </w:p>
        </w:tc>
        <w:tc>
          <w:tcPr>
            <w:tcW w:w="567" w:type="dxa"/>
          </w:tcPr>
          <w:p w14:paraId="67AF6927"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709" w:type="dxa"/>
          </w:tcPr>
          <w:p w14:paraId="4F61F893"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36.40</w:t>
            </w:r>
          </w:p>
        </w:tc>
        <w:tc>
          <w:tcPr>
            <w:tcW w:w="1134" w:type="dxa"/>
          </w:tcPr>
          <w:p w14:paraId="7C89FF75"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1274.00</w:t>
            </w:r>
          </w:p>
        </w:tc>
      </w:tr>
      <w:tr w:rsidR="0017726E" w:rsidRPr="000A0959" w14:paraId="4362C36F" w14:textId="77777777" w:rsidTr="00BE30D6">
        <w:tc>
          <w:tcPr>
            <w:cnfStyle w:val="001000000000" w:firstRow="0" w:lastRow="0" w:firstColumn="1" w:lastColumn="0" w:oddVBand="0" w:evenVBand="0" w:oddHBand="0" w:evenHBand="0" w:firstRowFirstColumn="0" w:firstRowLastColumn="0" w:lastRowFirstColumn="0" w:lastRowLastColumn="0"/>
            <w:tcW w:w="1843" w:type="dxa"/>
          </w:tcPr>
          <w:p w14:paraId="3C652B5E" w14:textId="77777777" w:rsid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 xml:space="preserve">Experimental Class </w:t>
            </w:r>
          </w:p>
          <w:p w14:paraId="6742598D" w14:textId="22C00AA5"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(Post-test)</w:t>
            </w:r>
          </w:p>
        </w:tc>
        <w:tc>
          <w:tcPr>
            <w:tcW w:w="567" w:type="dxa"/>
          </w:tcPr>
          <w:p w14:paraId="77726A82"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35</w:t>
            </w:r>
          </w:p>
        </w:tc>
        <w:tc>
          <w:tcPr>
            <w:tcW w:w="709" w:type="dxa"/>
          </w:tcPr>
          <w:p w14:paraId="7B6CF9D4"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34.60</w:t>
            </w:r>
          </w:p>
        </w:tc>
        <w:tc>
          <w:tcPr>
            <w:tcW w:w="1134" w:type="dxa"/>
          </w:tcPr>
          <w:p w14:paraId="1EB93CEB"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1211.00</w:t>
            </w:r>
          </w:p>
        </w:tc>
      </w:tr>
      <w:tr w:rsidR="000A0959" w:rsidRPr="000A0959" w14:paraId="21A0802F" w14:textId="77777777" w:rsidTr="00BE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3EF05EC7"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Total</w:t>
            </w:r>
          </w:p>
        </w:tc>
        <w:tc>
          <w:tcPr>
            <w:tcW w:w="567" w:type="dxa"/>
          </w:tcPr>
          <w:p w14:paraId="2670CFE3"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70</w:t>
            </w:r>
          </w:p>
        </w:tc>
        <w:tc>
          <w:tcPr>
            <w:tcW w:w="709" w:type="dxa"/>
          </w:tcPr>
          <w:p w14:paraId="50E3F7E7" w14:textId="77777777" w:rsidR="0017726E" w:rsidRPr="000A0959" w:rsidRDefault="0017726E"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34" w:type="dxa"/>
          </w:tcPr>
          <w:p w14:paraId="54AA3AD9" w14:textId="77777777" w:rsidR="0017726E" w:rsidRPr="000A0959" w:rsidRDefault="0017726E"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473F9F4A" w14:textId="77777777" w:rsidR="0017726E" w:rsidRPr="00A1223B" w:rsidRDefault="0017726E" w:rsidP="000A0959">
      <w:pPr>
        <w:jc w:val="both"/>
        <w:rPr>
          <w:b/>
          <w:sz w:val="22"/>
          <w:szCs w:val="22"/>
        </w:rPr>
      </w:pPr>
    </w:p>
    <w:p w14:paraId="6ECEA8EE" w14:textId="77777777" w:rsidR="0017726E" w:rsidRPr="000A0959" w:rsidRDefault="00000000" w:rsidP="00BE30D6">
      <w:pPr>
        <w:spacing w:line="276" w:lineRule="auto"/>
        <w:jc w:val="center"/>
        <w:rPr>
          <w:bCs/>
          <w:sz w:val="20"/>
          <w:szCs w:val="20"/>
        </w:rPr>
      </w:pPr>
      <w:r w:rsidRPr="000A0959">
        <w:rPr>
          <w:b/>
          <w:sz w:val="20"/>
          <w:szCs w:val="20"/>
        </w:rPr>
        <w:t xml:space="preserve">Table 9. </w:t>
      </w:r>
      <w:r w:rsidRPr="000A0959">
        <w:rPr>
          <w:bCs/>
          <w:sz w:val="20"/>
          <w:szCs w:val="20"/>
        </w:rPr>
        <w:t>Mann-Whitney U Test</w:t>
      </w:r>
    </w:p>
    <w:tbl>
      <w:tblPr>
        <w:tblStyle w:val="a8"/>
        <w:tblW w:w="4253" w:type="dxa"/>
        <w:tblInd w:w="0" w:type="dxa"/>
        <w:tblBorders>
          <w:top w:val="single" w:sz="8" w:space="0" w:color="000000"/>
          <w:bottom w:val="single" w:sz="8" w:space="0" w:color="000000"/>
        </w:tblBorders>
        <w:tblLayout w:type="fixed"/>
        <w:tblLook w:val="04A0" w:firstRow="1" w:lastRow="0" w:firstColumn="1" w:lastColumn="0" w:noHBand="0" w:noVBand="1"/>
      </w:tblPr>
      <w:tblGrid>
        <w:gridCol w:w="2127"/>
        <w:gridCol w:w="2126"/>
      </w:tblGrid>
      <w:tr w:rsidR="0017726E" w:rsidRPr="000A0959" w14:paraId="6F32E8C1" w14:textId="77777777" w:rsidTr="00BE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933A481"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sz w:val="20"/>
                <w:szCs w:val="20"/>
              </w:rPr>
              <w:t>Result Post-test</w:t>
            </w:r>
          </w:p>
        </w:tc>
        <w:tc>
          <w:tcPr>
            <w:tcW w:w="2126" w:type="dxa"/>
          </w:tcPr>
          <w:p w14:paraId="1D3AAE06" w14:textId="77777777" w:rsidR="0017726E" w:rsidRPr="000A0959" w:rsidRDefault="00000000" w:rsidP="00A1223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Value</w:t>
            </w:r>
          </w:p>
        </w:tc>
      </w:tr>
      <w:tr w:rsidR="0017726E" w:rsidRPr="000A0959" w14:paraId="0CBE5DAF" w14:textId="77777777" w:rsidTr="00BE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0F182662"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Mann-Whitney U</w:t>
            </w:r>
          </w:p>
        </w:tc>
        <w:tc>
          <w:tcPr>
            <w:tcW w:w="2126" w:type="dxa"/>
            <w:shd w:val="clear" w:color="auto" w:fill="auto"/>
          </w:tcPr>
          <w:p w14:paraId="2C85313B"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581.000</w:t>
            </w:r>
          </w:p>
        </w:tc>
      </w:tr>
      <w:tr w:rsidR="0017726E" w:rsidRPr="000A0959" w14:paraId="29921AEA" w14:textId="77777777" w:rsidTr="00BE30D6">
        <w:tc>
          <w:tcPr>
            <w:cnfStyle w:val="001000000000" w:firstRow="0" w:lastRow="0" w:firstColumn="1" w:lastColumn="0" w:oddVBand="0" w:evenVBand="0" w:oddHBand="0" w:evenHBand="0" w:firstRowFirstColumn="0" w:firstRowLastColumn="0" w:lastRowFirstColumn="0" w:lastRowLastColumn="0"/>
            <w:tcW w:w="2127" w:type="dxa"/>
          </w:tcPr>
          <w:p w14:paraId="7E1CAD5B"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Wilcoxon W</w:t>
            </w:r>
          </w:p>
        </w:tc>
        <w:tc>
          <w:tcPr>
            <w:tcW w:w="2126" w:type="dxa"/>
          </w:tcPr>
          <w:p w14:paraId="2D337166"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1211.000</w:t>
            </w:r>
          </w:p>
        </w:tc>
      </w:tr>
      <w:tr w:rsidR="0017726E" w:rsidRPr="000A0959" w14:paraId="75BA5A4C" w14:textId="77777777" w:rsidTr="00BE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14:paraId="651F5A13"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Z</w:t>
            </w:r>
          </w:p>
        </w:tc>
        <w:tc>
          <w:tcPr>
            <w:tcW w:w="2126" w:type="dxa"/>
            <w:shd w:val="clear" w:color="auto" w:fill="auto"/>
          </w:tcPr>
          <w:p w14:paraId="7ECF6749" w14:textId="77777777" w:rsidR="0017726E" w:rsidRPr="000A0959" w:rsidRDefault="00000000" w:rsidP="00A1223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-0.378</w:t>
            </w:r>
          </w:p>
        </w:tc>
      </w:tr>
      <w:tr w:rsidR="0017726E" w:rsidRPr="000A0959" w14:paraId="414D7A3B" w14:textId="77777777" w:rsidTr="00BE30D6">
        <w:tc>
          <w:tcPr>
            <w:cnfStyle w:val="001000000000" w:firstRow="0" w:lastRow="0" w:firstColumn="1" w:lastColumn="0" w:oddVBand="0" w:evenVBand="0" w:oddHBand="0" w:evenHBand="0" w:firstRowFirstColumn="0" w:firstRowLastColumn="0" w:lastRowFirstColumn="0" w:lastRowLastColumn="0"/>
            <w:tcW w:w="2127" w:type="dxa"/>
          </w:tcPr>
          <w:p w14:paraId="0926FC57" w14:textId="77777777" w:rsidR="0017726E" w:rsidRPr="000A0959" w:rsidRDefault="00000000" w:rsidP="00A1223B">
            <w:pPr>
              <w:jc w:val="both"/>
              <w:rPr>
                <w:rFonts w:ascii="Times New Roman" w:hAnsi="Times New Roman" w:cs="Times New Roman"/>
                <w:sz w:val="20"/>
                <w:szCs w:val="20"/>
              </w:rPr>
            </w:pPr>
            <w:r w:rsidRPr="000A0959">
              <w:rPr>
                <w:rFonts w:ascii="Times New Roman" w:hAnsi="Times New Roman" w:cs="Times New Roman"/>
                <w:b w:val="0"/>
                <w:sz w:val="20"/>
                <w:szCs w:val="20"/>
              </w:rPr>
              <w:t>Asymp. Sig. (2-tailed)</w:t>
            </w:r>
          </w:p>
        </w:tc>
        <w:tc>
          <w:tcPr>
            <w:tcW w:w="2126" w:type="dxa"/>
          </w:tcPr>
          <w:p w14:paraId="37AB4A48" w14:textId="77777777" w:rsidR="0017726E" w:rsidRPr="000A0959" w:rsidRDefault="00000000" w:rsidP="00A1223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A0959">
              <w:rPr>
                <w:rFonts w:ascii="Times New Roman" w:hAnsi="Times New Roman" w:cs="Times New Roman"/>
                <w:sz w:val="20"/>
                <w:szCs w:val="20"/>
              </w:rPr>
              <w:t>0.001</w:t>
            </w:r>
          </w:p>
        </w:tc>
      </w:tr>
    </w:tbl>
    <w:p w14:paraId="54570D9D" w14:textId="77777777" w:rsidR="0017726E" w:rsidRPr="00A1223B" w:rsidRDefault="0017726E" w:rsidP="000A0959">
      <w:pPr>
        <w:ind w:firstLine="567"/>
        <w:jc w:val="both"/>
        <w:rPr>
          <w:sz w:val="22"/>
          <w:szCs w:val="22"/>
        </w:rPr>
      </w:pPr>
    </w:p>
    <w:p w14:paraId="2AB21442" w14:textId="77777777" w:rsidR="0017726E" w:rsidRDefault="00000000" w:rsidP="000A0959">
      <w:pPr>
        <w:ind w:firstLine="567"/>
        <w:jc w:val="both"/>
        <w:rPr>
          <w:sz w:val="22"/>
          <w:szCs w:val="22"/>
        </w:rPr>
      </w:pPr>
      <w:r w:rsidRPr="00A1223B">
        <w:rPr>
          <w:sz w:val="22"/>
          <w:szCs w:val="22"/>
        </w:rPr>
        <w:t>As shown in Table 9, both groups had the same number of students, with slightly different mean ranks. Table 9 further reveals a Mann-Whitney U value of 581.000 and a significance level of 0.001, which is below 0.05. This indicates a significant difference between the two groups, suggesting that the experimental intervention had a positive effect on improving students’ listening comprehension.</w:t>
      </w:r>
    </w:p>
    <w:p w14:paraId="7F84C0FA" w14:textId="77777777" w:rsidR="000A0959" w:rsidRPr="00A1223B" w:rsidRDefault="000A0959" w:rsidP="000A0959">
      <w:pPr>
        <w:ind w:firstLine="567"/>
        <w:jc w:val="both"/>
        <w:rPr>
          <w:sz w:val="22"/>
          <w:szCs w:val="22"/>
        </w:rPr>
      </w:pPr>
    </w:p>
    <w:p w14:paraId="0CBFE1C0" w14:textId="77777777" w:rsidR="0017726E" w:rsidRPr="00A1223B" w:rsidRDefault="00000000" w:rsidP="000A0959">
      <w:pPr>
        <w:jc w:val="both"/>
        <w:rPr>
          <w:b/>
          <w:sz w:val="22"/>
          <w:szCs w:val="22"/>
        </w:rPr>
      </w:pPr>
      <w:bookmarkStart w:id="0" w:name="_p3ty954m8b44" w:colFirst="0" w:colLast="0"/>
      <w:bookmarkEnd w:id="0"/>
      <w:r w:rsidRPr="00A1223B">
        <w:rPr>
          <w:b/>
          <w:sz w:val="22"/>
          <w:szCs w:val="22"/>
        </w:rPr>
        <w:t>Discussions</w:t>
      </w:r>
    </w:p>
    <w:p w14:paraId="384437F3" w14:textId="77777777" w:rsidR="0017726E" w:rsidRDefault="00000000" w:rsidP="00A1223B">
      <w:pPr>
        <w:jc w:val="both"/>
        <w:rPr>
          <w:sz w:val="22"/>
          <w:szCs w:val="22"/>
        </w:rPr>
      </w:pPr>
      <w:r w:rsidRPr="00A1223B">
        <w:rPr>
          <w:sz w:val="22"/>
          <w:szCs w:val="22"/>
        </w:rPr>
        <w:t xml:space="preserve">The discussion is crucial to interpreting the findings. The students' listening comprehension scores improved. The use of YouTube videos as a media proved to be efficient. This research uses </w:t>
      </w:r>
      <w:r w:rsidRPr="00A1223B">
        <w:rPr>
          <w:sz w:val="22"/>
          <w:szCs w:val="22"/>
        </w:rPr>
        <w:lastRenderedPageBreak/>
        <w:t>a Quasi-experimental design with 2 class experimental classes and a control class.</w:t>
      </w:r>
    </w:p>
    <w:p w14:paraId="3F3CD757" w14:textId="77777777" w:rsidR="000A0959" w:rsidRPr="00A1223B" w:rsidRDefault="000A0959" w:rsidP="00A1223B">
      <w:pPr>
        <w:jc w:val="both"/>
        <w:rPr>
          <w:sz w:val="22"/>
          <w:szCs w:val="22"/>
        </w:rPr>
      </w:pPr>
    </w:p>
    <w:p w14:paraId="2C233DC5" w14:textId="77777777" w:rsidR="0017726E" w:rsidRPr="00A1223B" w:rsidRDefault="00000000" w:rsidP="00A1223B">
      <w:pPr>
        <w:jc w:val="both"/>
        <w:rPr>
          <w:b/>
          <w:i/>
          <w:sz w:val="22"/>
          <w:szCs w:val="22"/>
        </w:rPr>
      </w:pPr>
      <w:bookmarkStart w:id="1" w:name="_vhzjxl3j9yoo" w:colFirst="0" w:colLast="0"/>
      <w:bookmarkEnd w:id="1"/>
      <w:r w:rsidRPr="00A1223B">
        <w:rPr>
          <w:b/>
          <w:i/>
          <w:sz w:val="22"/>
          <w:szCs w:val="22"/>
        </w:rPr>
        <w:t>The Improvement of Students’ Listening Comprehension</w:t>
      </w:r>
    </w:p>
    <w:p w14:paraId="6E894389" w14:textId="338CBCB8" w:rsidR="0017726E" w:rsidRPr="00A1223B" w:rsidRDefault="00000000" w:rsidP="000A0959">
      <w:pPr>
        <w:ind w:firstLine="567"/>
        <w:jc w:val="both"/>
        <w:rPr>
          <w:sz w:val="22"/>
          <w:szCs w:val="22"/>
        </w:rPr>
      </w:pPr>
      <w:r w:rsidRPr="00A1223B">
        <w:rPr>
          <w:sz w:val="22"/>
          <w:szCs w:val="22"/>
        </w:rPr>
        <w:t>The findings provide strong evidence of significant improvement in students' listening comprehension of narrative texts when audio-visual media, specifically YouTube videos, are utilized.</w:t>
      </w:r>
      <w:r w:rsidR="000A0959">
        <w:rPr>
          <w:sz w:val="22"/>
          <w:szCs w:val="22"/>
        </w:rPr>
        <w:t xml:space="preserve"> </w:t>
      </w:r>
      <w:r w:rsidRPr="00A1223B">
        <w:rPr>
          <w:sz w:val="22"/>
          <w:szCs w:val="22"/>
        </w:rPr>
        <w:t>As shown in Table 1, the experimental class demonstrated a substantial increase in their mean listening comprehension scores from the pre-test (42.57) to the post-test (68.57). This represents a remarkable 61% improvement, indicating a significant positive impact of the YouTube video intervention. In contrast, the control class, while also showing improvement, had a lower percentage gain (50%), suggesting the specific advantage of the audio-visual treatment.</w:t>
      </w:r>
      <w:r w:rsidR="000A0959">
        <w:rPr>
          <w:sz w:val="22"/>
          <w:szCs w:val="22"/>
        </w:rPr>
        <w:t xml:space="preserve"> </w:t>
      </w:r>
      <w:r w:rsidRPr="00A1223B">
        <w:rPr>
          <w:sz w:val="22"/>
          <w:szCs w:val="22"/>
        </w:rPr>
        <w:t>As shown in Figure 1 illustrates the qualitative shift in student performance within the experimental group. In the pre-test, a large proportion of students were categorized as "Low" (68.57%) and "Very Low" (17.14%). Following the intervention, there was a significant increase in the "Very High" (25.71%) and "High" (42.86%) categories, accompanied by a corresponding decrease in the lower categories. This demonstrates that students moved from struggling with comprehension to achieving higher levels of understanding.</w:t>
      </w:r>
    </w:p>
    <w:p w14:paraId="063CC30D" w14:textId="4A533C66" w:rsidR="0017726E" w:rsidRPr="00A1223B" w:rsidRDefault="00000000" w:rsidP="000A0959">
      <w:pPr>
        <w:ind w:firstLine="567"/>
        <w:jc w:val="both"/>
        <w:rPr>
          <w:sz w:val="22"/>
          <w:szCs w:val="22"/>
        </w:rPr>
      </w:pPr>
      <w:r w:rsidRPr="00A1223B">
        <w:rPr>
          <w:sz w:val="22"/>
          <w:szCs w:val="22"/>
        </w:rPr>
        <w:t>The statistical analysis further solidifies these observations. The Wilcoxon Signed-Rank test for the experimental class yielded a Z-score of -5.010 and a p-value of 0.001. Since the p-value is less than the significance level of  0.05, the null hypothesis of no difference is rejected, confirming that the improvement in the experimental group's post-test scores was statistically significant and attributable to the intervention.</w:t>
      </w:r>
      <w:r w:rsidR="000A0959">
        <w:rPr>
          <w:sz w:val="22"/>
          <w:szCs w:val="22"/>
        </w:rPr>
        <w:t xml:space="preserve"> </w:t>
      </w:r>
      <w:r w:rsidRPr="00A1223B">
        <w:rPr>
          <w:sz w:val="22"/>
          <w:szCs w:val="22"/>
        </w:rPr>
        <w:t>This significant improvement aligns well with Paivio's (1986), which posits that information processed through both verbal and non-verbal channels (like audio and video) leads to stronger memory traces and better comprehension. For narrative texts, the visual component of YouTube videos provides crucial contextual cues, character expressions, and setting details that complement the auditory narrative, making the story more comprehensible and memorable.</w:t>
      </w:r>
      <w:r w:rsidR="000A0959">
        <w:rPr>
          <w:sz w:val="22"/>
          <w:szCs w:val="22"/>
        </w:rPr>
        <w:t xml:space="preserve"> </w:t>
      </w:r>
      <w:r w:rsidRPr="00A1223B">
        <w:rPr>
          <w:sz w:val="22"/>
          <w:szCs w:val="22"/>
        </w:rPr>
        <w:t xml:space="preserve">The use of YouTube videos (Sweller, Ayres, &amp; Kalyuga, 2011). By presenting information in a multimodal format, the cognitive burden of processing purely </w:t>
      </w:r>
      <w:r w:rsidRPr="00A1223B">
        <w:rPr>
          <w:sz w:val="22"/>
          <w:szCs w:val="22"/>
        </w:rPr>
        <w:t>auditory input is reduced. The visuals can help learners build a mental model of the narrative, thereby freeing up cognitive resources for deeper comprehension of the story's details and overall meaning.</w:t>
      </w:r>
    </w:p>
    <w:p w14:paraId="64137E8C" w14:textId="77777777" w:rsidR="0017726E" w:rsidRPr="00A1223B" w:rsidRDefault="00000000" w:rsidP="000A0959">
      <w:pPr>
        <w:ind w:firstLine="567"/>
        <w:jc w:val="both"/>
        <w:rPr>
          <w:sz w:val="22"/>
          <w:szCs w:val="22"/>
        </w:rPr>
      </w:pPr>
      <w:r w:rsidRPr="00A1223B">
        <w:rPr>
          <w:sz w:val="22"/>
          <w:szCs w:val="22"/>
        </w:rPr>
        <w:t>Furthermore, the authentic and engaging nature of YouTube videos can enhance student motivation and attention, which are critical factors in language acquisition. As Krashen (1985) emphasizes in his Input Hypothesis, comprehensible input that is interesting and relevant to learners is vital. YouTube videos often provide such input, making the learning process more enjoyable and effective, which in turn leads to improved listening skills.</w:t>
      </w:r>
    </w:p>
    <w:p w14:paraId="5AEA9CDF" w14:textId="77777777" w:rsidR="0017726E" w:rsidRPr="00A1223B" w:rsidRDefault="0017726E" w:rsidP="000A0959">
      <w:pPr>
        <w:jc w:val="both"/>
        <w:rPr>
          <w:b/>
          <w:i/>
          <w:sz w:val="22"/>
          <w:szCs w:val="22"/>
        </w:rPr>
      </w:pPr>
      <w:bookmarkStart w:id="2" w:name="_mcielzv5awf3" w:colFirst="0" w:colLast="0"/>
      <w:bookmarkEnd w:id="2"/>
    </w:p>
    <w:p w14:paraId="7590F2F2" w14:textId="77777777" w:rsidR="0017726E" w:rsidRPr="00A1223B" w:rsidRDefault="00000000" w:rsidP="000A0959">
      <w:pPr>
        <w:jc w:val="both"/>
        <w:rPr>
          <w:b/>
          <w:i/>
          <w:sz w:val="22"/>
          <w:szCs w:val="22"/>
        </w:rPr>
      </w:pPr>
      <w:r w:rsidRPr="00A1223B">
        <w:rPr>
          <w:b/>
          <w:i/>
          <w:sz w:val="22"/>
          <w:szCs w:val="22"/>
        </w:rPr>
        <w:t>The Improvement of Students in Answering Questions</w:t>
      </w:r>
    </w:p>
    <w:p w14:paraId="2ACC2F21" w14:textId="123DD7D6" w:rsidR="0017726E" w:rsidRPr="00A1223B" w:rsidRDefault="00000000" w:rsidP="000A0959">
      <w:pPr>
        <w:ind w:firstLine="567"/>
        <w:jc w:val="both"/>
        <w:rPr>
          <w:sz w:val="22"/>
          <w:szCs w:val="22"/>
        </w:rPr>
      </w:pPr>
      <w:r w:rsidRPr="00A1223B">
        <w:rPr>
          <w:sz w:val="22"/>
          <w:szCs w:val="22"/>
        </w:rPr>
        <w:t>While the study's primary assessment focused on overall listening comprehension and "listening for details," the observed improvements indirectly suggest an enhanced understanding of narrative generic structures.</w:t>
      </w:r>
      <w:r w:rsidR="000A0959">
        <w:rPr>
          <w:sz w:val="22"/>
          <w:szCs w:val="22"/>
        </w:rPr>
        <w:t xml:space="preserve"> </w:t>
      </w:r>
      <w:r w:rsidRPr="00A1223B">
        <w:rPr>
          <w:sz w:val="22"/>
          <w:szCs w:val="22"/>
        </w:rPr>
        <w:t>Understanding the generic structure of a narrative (e.g., orientation, complication, resolution, coda) is not a separate skill but is deeply intertwined with comprehending the details of the story. To accurately grasp details, sequence events, and infer meaning, a listener must implicitly or explicitly recognize how the narrative unfolds structurally. For instance, identifying the "complication" requires understanding the preceding "orientation" and recognizing the shift in the narrative's trajectory. The substantial improvement in "Listening for Details" (Figure 1) for the experimental group, where students moved from lower to higher comprehension categories, indicates a more sophisticated understanding of the narrative as a whole, which inherently includes its structural components.</w:t>
      </w:r>
    </w:p>
    <w:p w14:paraId="7AF508C9" w14:textId="0124E9F0" w:rsidR="0017726E" w:rsidRPr="00A1223B" w:rsidRDefault="00000000" w:rsidP="000A0959">
      <w:pPr>
        <w:ind w:firstLine="567"/>
        <w:jc w:val="both"/>
        <w:rPr>
          <w:sz w:val="22"/>
          <w:szCs w:val="22"/>
        </w:rPr>
      </w:pPr>
      <w:r w:rsidRPr="00A1223B">
        <w:rPr>
          <w:sz w:val="22"/>
          <w:szCs w:val="22"/>
        </w:rPr>
        <w:t>The assessment also considered "accuracy of response" (Figure 1). An accurate response to questions about a narrative often necessitates an understanding of its plot development, character roles, and the sequence of events, all of which are dictated by the generic structure. The overall increase in accuracy post-intervention suggests that students were better able to piece together the narrative's elements in a coherent, structurally sound manner.</w:t>
      </w:r>
      <w:r w:rsidR="000A0959">
        <w:rPr>
          <w:sz w:val="22"/>
          <w:szCs w:val="22"/>
        </w:rPr>
        <w:t xml:space="preserve"> </w:t>
      </w:r>
      <w:r w:rsidRPr="00A1223B">
        <w:rPr>
          <w:sz w:val="22"/>
          <w:szCs w:val="22"/>
        </w:rPr>
        <w:t xml:space="preserve">Videos provide rich contextual information that helps activate learners' existing schemata (background knowledge) related to narrative structures. When students see visual cues that align with typical story beginnings, </w:t>
      </w:r>
      <w:r w:rsidRPr="00A1223B">
        <w:rPr>
          <w:sz w:val="22"/>
          <w:szCs w:val="22"/>
        </w:rPr>
        <w:lastRenderedPageBreak/>
        <w:t>middles, or ends, their cognitive frameworks for narratives are reinforced. According to Rumelhart (1980), comprehension involves activating and building upon existing knowledge structures. The visual context provided by YouTube videos helps learners fit new information into their existing narrative schemata, thereby facilitating structural understanding.</w:t>
      </w:r>
    </w:p>
    <w:p w14:paraId="5D198A44" w14:textId="2F5E1D78" w:rsidR="0017726E" w:rsidRPr="00A1223B" w:rsidRDefault="00000000" w:rsidP="000A0959">
      <w:pPr>
        <w:ind w:firstLine="567"/>
        <w:jc w:val="both"/>
        <w:rPr>
          <w:sz w:val="22"/>
          <w:szCs w:val="22"/>
        </w:rPr>
      </w:pPr>
      <w:r w:rsidRPr="00A1223B">
        <w:rPr>
          <w:sz w:val="22"/>
          <w:szCs w:val="22"/>
        </w:rPr>
        <w:t>When learners are solely relying on auditory input, they must mentally construct the narrative's sequence and structure. This can impose a high cognitive load. By providing visual support, YouTube videos offload some of this processing burden. Mayer (2009) suggests, presenting information in both visual and auditory channels can lead to deeper learning by allowing learners to build coherent mental models. The visual representation of the narrative's flow allows learners to dedicate more cognitive resources to understanding the underlying structure rather than just decoding individual words or phrases.</w:t>
      </w:r>
      <w:r w:rsidR="000A0959">
        <w:rPr>
          <w:sz w:val="22"/>
          <w:szCs w:val="22"/>
        </w:rPr>
        <w:t xml:space="preserve"> </w:t>
      </w:r>
      <w:r w:rsidRPr="00A1223B">
        <w:rPr>
          <w:sz w:val="22"/>
          <w:szCs w:val="22"/>
        </w:rPr>
        <w:t>YouTube videos can be easily replayed, allowing students to revisit specific sections of the narrative. This repetition is crucial for reinforcing understanding of complex elements like generic structure. Learners can re-watch scenes corresponding to the orientation, complication, or resolution, solidifying their grasp of these structural components. This aligns with principles of spaced repetition and reinforcement in learning.</w:t>
      </w:r>
      <w:r w:rsidR="000A0959">
        <w:rPr>
          <w:sz w:val="22"/>
          <w:szCs w:val="22"/>
        </w:rPr>
        <w:t xml:space="preserve"> </w:t>
      </w:r>
      <w:r w:rsidRPr="00A1223B">
        <w:rPr>
          <w:sz w:val="22"/>
          <w:szCs w:val="22"/>
        </w:rPr>
        <w:t>Bruner (1986) emphasized the human propensity for narrative thought and how we construct meaning through stories. He argued that understanding a narrative involves grasping its "plot" or "structure." Multimedia, by making the plot visually explicit, can significantly aid this construction process.</w:t>
      </w:r>
    </w:p>
    <w:p w14:paraId="3FEFE1E1" w14:textId="77777777" w:rsidR="004C61D8" w:rsidRPr="00A1223B" w:rsidRDefault="004C61D8" w:rsidP="00A1223B">
      <w:pPr>
        <w:ind w:firstLine="720"/>
        <w:jc w:val="both"/>
        <w:rPr>
          <w:sz w:val="22"/>
          <w:szCs w:val="22"/>
        </w:rPr>
      </w:pPr>
    </w:p>
    <w:p w14:paraId="37DA3DDA" w14:textId="77777777" w:rsidR="0017726E" w:rsidRDefault="00000000" w:rsidP="000A0959">
      <w:pPr>
        <w:jc w:val="both"/>
        <w:rPr>
          <w:b/>
          <w:sz w:val="22"/>
          <w:szCs w:val="22"/>
        </w:rPr>
      </w:pPr>
      <w:r w:rsidRPr="00A1223B">
        <w:rPr>
          <w:b/>
          <w:sz w:val="22"/>
          <w:szCs w:val="22"/>
        </w:rPr>
        <w:t>CONCLUSION</w:t>
      </w:r>
    </w:p>
    <w:p w14:paraId="1FFE7205" w14:textId="77777777" w:rsidR="000A0959" w:rsidRPr="00A1223B" w:rsidRDefault="000A0959" w:rsidP="000A0959">
      <w:pPr>
        <w:jc w:val="both"/>
        <w:rPr>
          <w:b/>
          <w:sz w:val="22"/>
          <w:szCs w:val="22"/>
        </w:rPr>
      </w:pPr>
    </w:p>
    <w:p w14:paraId="5B60EF6A" w14:textId="457E040D" w:rsidR="0017726E" w:rsidRPr="00A1223B" w:rsidRDefault="00000000" w:rsidP="000A0959">
      <w:pPr>
        <w:ind w:firstLine="567"/>
        <w:jc w:val="both"/>
        <w:rPr>
          <w:sz w:val="22"/>
          <w:szCs w:val="22"/>
        </w:rPr>
      </w:pPr>
      <w:bookmarkStart w:id="3" w:name="_qm216ytpupps" w:colFirst="0" w:colLast="0"/>
      <w:bookmarkEnd w:id="3"/>
      <w:r w:rsidRPr="00A1223B">
        <w:rPr>
          <w:sz w:val="22"/>
          <w:szCs w:val="22"/>
        </w:rPr>
        <w:t xml:space="preserve">The findings of this research indicate that the use of YouTube videos in the eleventh-grade class of a Vocational School in Surabaya significantly improved students’ listening comprehension, particularly in understanding narrative texts and answering questions related to their generic structures. The results of the pre-test and post-test with a p-value &lt; 0.05 confirmed that the null hypothesis was rejected and the alternative hypothesis was accepted. Through a quasi-experimental design supported by the Mann-Whitneu U Test, the study revealed </w:t>
      </w:r>
      <w:r w:rsidRPr="00A1223B">
        <w:rPr>
          <w:sz w:val="22"/>
          <w:szCs w:val="22"/>
        </w:rPr>
        <w:t>increases in mean scores, shifts in comprehension categories toward higher levels, and strong evidence of the effectiveness of YouTube as a learning medium. It can therefore be concluded that YouTube serves as an effective pedagogical tool for enhancing listening comprehension and provides valuable contributions to the field of language education.</w:t>
      </w:r>
      <w:r w:rsidR="000A0959">
        <w:rPr>
          <w:sz w:val="22"/>
          <w:szCs w:val="22"/>
        </w:rPr>
        <w:t xml:space="preserve"> </w:t>
      </w:r>
      <w:r w:rsidRPr="00A1223B">
        <w:rPr>
          <w:sz w:val="22"/>
          <w:szCs w:val="22"/>
        </w:rPr>
        <w:t>Based on these findings, teachers are encouraged to integrate YouTube videos into classroom learning by selecting relevant content and designing structured activities such as pre-viewing, while-viewing, and post-viewing stages to maintain focus and strengthen comprehension. Future researchers are advised to conduct longitudinal studies to examine the long-term impact of YouTube on listening skills and to involve a broader range of student populations with different backgrounds and proficiency levels. This approach will provide more comprehensive insights into the effectiveness of YouTube as a medium for language learning across diverse contexts.</w:t>
      </w:r>
    </w:p>
    <w:p w14:paraId="7705C4F9" w14:textId="77777777" w:rsidR="004C61D8" w:rsidRPr="00A1223B" w:rsidRDefault="004C61D8" w:rsidP="00A1223B">
      <w:pPr>
        <w:ind w:firstLine="720"/>
        <w:jc w:val="both"/>
        <w:rPr>
          <w:sz w:val="22"/>
          <w:szCs w:val="22"/>
        </w:rPr>
      </w:pPr>
    </w:p>
    <w:p w14:paraId="30CDA514" w14:textId="77777777" w:rsidR="0017726E" w:rsidRDefault="00000000" w:rsidP="000A0959">
      <w:pPr>
        <w:jc w:val="both"/>
        <w:rPr>
          <w:b/>
          <w:sz w:val="22"/>
          <w:szCs w:val="22"/>
        </w:rPr>
      </w:pPr>
      <w:r w:rsidRPr="00A1223B">
        <w:rPr>
          <w:b/>
          <w:sz w:val="22"/>
          <w:szCs w:val="22"/>
        </w:rPr>
        <w:t>ACKNOWLEDGMENT</w:t>
      </w:r>
    </w:p>
    <w:p w14:paraId="1E939610" w14:textId="77777777" w:rsidR="000A0959" w:rsidRPr="00A1223B" w:rsidRDefault="000A0959" w:rsidP="000A0959">
      <w:pPr>
        <w:jc w:val="both"/>
        <w:rPr>
          <w:sz w:val="22"/>
          <w:szCs w:val="22"/>
        </w:rPr>
      </w:pPr>
    </w:p>
    <w:p w14:paraId="0639C30D" w14:textId="33626BEF" w:rsidR="0017726E" w:rsidRPr="00A1223B" w:rsidRDefault="00000000" w:rsidP="000A0959">
      <w:pPr>
        <w:ind w:firstLine="567"/>
        <w:jc w:val="both"/>
        <w:rPr>
          <w:sz w:val="22"/>
          <w:szCs w:val="22"/>
        </w:rPr>
      </w:pPr>
      <w:r w:rsidRPr="00A1223B">
        <w:rPr>
          <w:sz w:val="22"/>
          <w:szCs w:val="22"/>
        </w:rPr>
        <w:t>The author would like to express sincere gratitude to Allah Almighty for His blessings and guidance so that this research could be completed successfully. Deep appreciation is extended to the academic supervisor for valuable guidance and support, to the school, teachers, and students who kindly provided opportunities and assistance during the research process, as well as to family and friends for their constant prayers, encouragement, and motivation. May all the kindness and support given receive worthy rewards from God, and may this research contribute to the development of knowledge.</w:t>
      </w:r>
    </w:p>
    <w:p w14:paraId="66DF6BBA" w14:textId="77777777" w:rsidR="00CF58E9" w:rsidRPr="00A1223B" w:rsidRDefault="00CF58E9" w:rsidP="000A0959">
      <w:pPr>
        <w:jc w:val="both"/>
        <w:rPr>
          <w:sz w:val="22"/>
          <w:szCs w:val="22"/>
        </w:rPr>
      </w:pPr>
    </w:p>
    <w:p w14:paraId="70FC6B23" w14:textId="77777777" w:rsidR="0017726E" w:rsidRDefault="00000000" w:rsidP="000A0959">
      <w:pPr>
        <w:jc w:val="both"/>
        <w:rPr>
          <w:b/>
          <w:sz w:val="22"/>
          <w:szCs w:val="22"/>
        </w:rPr>
      </w:pPr>
      <w:r w:rsidRPr="00A1223B">
        <w:rPr>
          <w:b/>
          <w:sz w:val="22"/>
          <w:szCs w:val="22"/>
        </w:rPr>
        <w:t>REFERENCE</w:t>
      </w:r>
    </w:p>
    <w:p w14:paraId="3342B739" w14:textId="77777777" w:rsidR="000A0959" w:rsidRPr="00A1223B" w:rsidRDefault="000A0959" w:rsidP="000A0959">
      <w:pPr>
        <w:jc w:val="both"/>
        <w:rPr>
          <w:sz w:val="22"/>
          <w:szCs w:val="22"/>
        </w:rPr>
      </w:pPr>
    </w:p>
    <w:p w14:paraId="217BCA0B" w14:textId="77777777" w:rsidR="000A0959" w:rsidRPr="00A1223B" w:rsidRDefault="000A0959" w:rsidP="000A0959">
      <w:pPr>
        <w:ind w:left="567" w:hanging="567"/>
        <w:jc w:val="both"/>
        <w:rPr>
          <w:sz w:val="22"/>
          <w:szCs w:val="22"/>
        </w:rPr>
      </w:pPr>
      <w:r w:rsidRPr="00A1223B">
        <w:rPr>
          <w:sz w:val="22"/>
          <w:szCs w:val="22"/>
        </w:rPr>
        <w:t xml:space="preserve">Bandura, A. (1997). </w:t>
      </w:r>
      <w:r w:rsidRPr="00A1223B">
        <w:rPr>
          <w:i/>
          <w:sz w:val="22"/>
          <w:szCs w:val="22"/>
        </w:rPr>
        <w:t>Self-efficacy: The exercise of control</w:t>
      </w:r>
      <w:r w:rsidRPr="00A1223B">
        <w:rPr>
          <w:sz w:val="22"/>
          <w:szCs w:val="22"/>
        </w:rPr>
        <w:t>. New York: W.H. Freeman.</w:t>
      </w:r>
    </w:p>
    <w:p w14:paraId="2502D4A6" w14:textId="77777777" w:rsidR="000A0959" w:rsidRPr="00A1223B" w:rsidRDefault="000A0959" w:rsidP="000A0959">
      <w:pPr>
        <w:ind w:left="567" w:hanging="567"/>
        <w:jc w:val="both"/>
        <w:rPr>
          <w:sz w:val="22"/>
          <w:szCs w:val="22"/>
        </w:rPr>
      </w:pPr>
      <w:r w:rsidRPr="00A1223B">
        <w:rPr>
          <w:sz w:val="22"/>
          <w:szCs w:val="22"/>
        </w:rPr>
        <w:t xml:space="preserve">Bruner, J. S. (1986). </w:t>
      </w:r>
      <w:r w:rsidRPr="00A1223B">
        <w:rPr>
          <w:i/>
          <w:sz w:val="22"/>
          <w:szCs w:val="22"/>
        </w:rPr>
        <w:t>Actual minds, possible worlds</w:t>
      </w:r>
      <w:r w:rsidRPr="00A1223B">
        <w:rPr>
          <w:sz w:val="22"/>
          <w:szCs w:val="22"/>
        </w:rPr>
        <w:t>. Cambridge, MA: Harvard University Press.</w:t>
      </w:r>
    </w:p>
    <w:p w14:paraId="78A4B72C" w14:textId="77777777" w:rsidR="000A0959" w:rsidRPr="00A1223B" w:rsidRDefault="000A0959" w:rsidP="000A0959">
      <w:pPr>
        <w:ind w:left="567" w:hanging="567"/>
        <w:jc w:val="both"/>
        <w:rPr>
          <w:sz w:val="22"/>
          <w:szCs w:val="22"/>
        </w:rPr>
      </w:pPr>
      <w:r w:rsidRPr="00A1223B">
        <w:rPr>
          <w:sz w:val="22"/>
          <w:szCs w:val="22"/>
        </w:rPr>
        <w:t xml:space="preserve">Creswell, J. W. (2012). </w:t>
      </w:r>
      <w:r w:rsidRPr="00A1223B">
        <w:rPr>
          <w:i/>
          <w:sz w:val="22"/>
          <w:szCs w:val="22"/>
        </w:rPr>
        <w:t>Educational research: Planning, conducting, and evaluating quantitative and qualitative research</w:t>
      </w:r>
      <w:r w:rsidRPr="00A1223B">
        <w:rPr>
          <w:sz w:val="22"/>
          <w:szCs w:val="22"/>
        </w:rPr>
        <w:t>. Boston: Pearson Education.</w:t>
      </w:r>
    </w:p>
    <w:p w14:paraId="62140F24" w14:textId="77777777" w:rsidR="000A0959" w:rsidRPr="00A1223B" w:rsidRDefault="000A0959" w:rsidP="000A0959">
      <w:pPr>
        <w:ind w:left="567" w:hanging="567"/>
        <w:jc w:val="both"/>
        <w:rPr>
          <w:sz w:val="22"/>
          <w:szCs w:val="22"/>
        </w:rPr>
      </w:pPr>
      <w:r w:rsidRPr="00A1223B">
        <w:rPr>
          <w:sz w:val="22"/>
          <w:szCs w:val="22"/>
        </w:rPr>
        <w:t xml:space="preserve">Jawad, A. (2021). The significance of using YouTube as an academic tool to improve students’ listening skill in Libyan universities. </w:t>
      </w:r>
      <w:r w:rsidRPr="00A1223B">
        <w:rPr>
          <w:i/>
          <w:sz w:val="22"/>
          <w:szCs w:val="22"/>
        </w:rPr>
        <w:t xml:space="preserve">International Journal of </w:t>
      </w:r>
      <w:r w:rsidRPr="00A1223B">
        <w:rPr>
          <w:i/>
          <w:sz w:val="22"/>
          <w:szCs w:val="22"/>
        </w:rPr>
        <w:lastRenderedPageBreak/>
        <w:t>Linguistics Studies, 1</w:t>
      </w:r>
      <w:r w:rsidRPr="00A1223B">
        <w:rPr>
          <w:sz w:val="22"/>
          <w:szCs w:val="22"/>
        </w:rPr>
        <w:t xml:space="preserve">(1), 27–33. </w:t>
      </w:r>
      <w:hyperlink r:id="rId15" w:history="1">
        <w:r w:rsidRPr="00A1223B">
          <w:rPr>
            <w:rStyle w:val="Hyperlink"/>
            <w:sz w:val="22"/>
            <w:szCs w:val="22"/>
          </w:rPr>
          <w:t>https://doi.org/10.32996/ijls.2021.1.1.5</w:t>
        </w:r>
      </w:hyperlink>
      <w:r w:rsidRPr="00A1223B">
        <w:rPr>
          <w:sz w:val="22"/>
          <w:szCs w:val="22"/>
        </w:rPr>
        <w:t xml:space="preserve"> </w:t>
      </w:r>
    </w:p>
    <w:p w14:paraId="3695B12B" w14:textId="77777777" w:rsidR="000A0959" w:rsidRPr="00A1223B" w:rsidRDefault="000A0959" w:rsidP="000A0959">
      <w:pPr>
        <w:ind w:left="567" w:hanging="567"/>
        <w:jc w:val="both"/>
        <w:rPr>
          <w:sz w:val="22"/>
          <w:szCs w:val="22"/>
        </w:rPr>
      </w:pPr>
      <w:r w:rsidRPr="00A1223B">
        <w:rPr>
          <w:sz w:val="22"/>
          <w:szCs w:val="22"/>
        </w:rPr>
        <w:t xml:space="preserve">Karimova, M., Usmonova, K., Thashkulova, Z., &amp; Imamov, N. (2020). Importance of listening skill in learning English. </w:t>
      </w:r>
      <w:r w:rsidRPr="00A1223B">
        <w:rPr>
          <w:i/>
          <w:sz w:val="22"/>
          <w:szCs w:val="22"/>
        </w:rPr>
        <w:t>International Journal on Integrated Education, 3</w:t>
      </w:r>
      <w:r w:rsidRPr="00A1223B">
        <w:rPr>
          <w:sz w:val="22"/>
          <w:szCs w:val="22"/>
        </w:rPr>
        <w:t>(11), 179–182.</w:t>
      </w:r>
    </w:p>
    <w:p w14:paraId="27BA9757" w14:textId="77777777" w:rsidR="000A0959" w:rsidRPr="00A1223B" w:rsidRDefault="000A0959" w:rsidP="000A0959">
      <w:pPr>
        <w:ind w:left="567" w:hanging="567"/>
        <w:jc w:val="both"/>
        <w:rPr>
          <w:sz w:val="22"/>
          <w:szCs w:val="22"/>
        </w:rPr>
      </w:pPr>
      <w:r w:rsidRPr="00A1223B">
        <w:rPr>
          <w:sz w:val="22"/>
          <w:szCs w:val="22"/>
        </w:rPr>
        <w:t xml:space="preserve">Lamb, S., Maire, Q., &amp; Doecke, E. (2015). </w:t>
      </w:r>
      <w:r w:rsidRPr="00A1223B">
        <w:rPr>
          <w:i/>
          <w:sz w:val="22"/>
          <w:szCs w:val="22"/>
        </w:rPr>
        <w:t>Vocational education and training: A pathway to success</w:t>
      </w:r>
      <w:r w:rsidRPr="00A1223B">
        <w:rPr>
          <w:sz w:val="22"/>
          <w:szCs w:val="22"/>
        </w:rPr>
        <w:t>. Australian Council for Educational Research.</w:t>
      </w:r>
    </w:p>
    <w:p w14:paraId="3C4C9A7B" w14:textId="30028974" w:rsidR="000A0959" w:rsidRPr="00A1223B" w:rsidRDefault="000A0959" w:rsidP="000A0959">
      <w:pPr>
        <w:ind w:left="567" w:hanging="567"/>
        <w:jc w:val="both"/>
        <w:rPr>
          <w:sz w:val="22"/>
          <w:szCs w:val="22"/>
        </w:rPr>
      </w:pPr>
      <w:r w:rsidRPr="00A1223B">
        <w:rPr>
          <w:sz w:val="22"/>
          <w:szCs w:val="22"/>
        </w:rPr>
        <w:t xml:space="preserve">Martha Suri, E., Fakhruddin Mahalizikri, I., Pertiwi, R., Ekasakti, U., &amp; Bengkalis, S. (2021). Pendidikan audio visual application on narrative text’s vocabulary achievement on tenth grade students of SMK N 5 Padang. </w:t>
      </w:r>
      <w:r w:rsidRPr="00A1223B">
        <w:rPr>
          <w:i/>
          <w:sz w:val="22"/>
          <w:szCs w:val="22"/>
        </w:rPr>
        <w:t>Jurnal Pendidikan Indonesia (Japendi), 2</w:t>
      </w:r>
      <w:r w:rsidRPr="00A1223B">
        <w:rPr>
          <w:sz w:val="22"/>
          <w:szCs w:val="22"/>
        </w:rPr>
        <w:t xml:space="preserve">(11), 1904–1916. </w:t>
      </w:r>
    </w:p>
    <w:p w14:paraId="61CF2B29" w14:textId="77777777" w:rsidR="000A0959" w:rsidRPr="00A1223B" w:rsidRDefault="000A0959" w:rsidP="000A0959">
      <w:pPr>
        <w:ind w:left="567" w:hanging="567"/>
        <w:jc w:val="both"/>
        <w:rPr>
          <w:sz w:val="22"/>
          <w:szCs w:val="22"/>
        </w:rPr>
      </w:pPr>
      <w:r w:rsidRPr="00A1223B">
        <w:rPr>
          <w:sz w:val="22"/>
          <w:szCs w:val="22"/>
        </w:rPr>
        <w:t xml:space="preserve">Mayer, R. E. (2009). </w:t>
      </w:r>
      <w:r w:rsidRPr="00A1223B">
        <w:rPr>
          <w:i/>
          <w:sz w:val="22"/>
          <w:szCs w:val="22"/>
        </w:rPr>
        <w:t>Multimedia learning</w:t>
      </w:r>
      <w:r w:rsidRPr="00A1223B">
        <w:rPr>
          <w:sz w:val="22"/>
          <w:szCs w:val="22"/>
        </w:rPr>
        <w:t xml:space="preserve"> (2nd ed.). New York: Cambridge University Press.</w:t>
      </w:r>
    </w:p>
    <w:p w14:paraId="63B7B2DD" w14:textId="77777777" w:rsidR="000A0959" w:rsidRPr="00A1223B" w:rsidRDefault="000A0959" w:rsidP="000A0959">
      <w:pPr>
        <w:ind w:left="567" w:hanging="567"/>
        <w:jc w:val="both"/>
        <w:rPr>
          <w:sz w:val="22"/>
          <w:szCs w:val="22"/>
        </w:rPr>
      </w:pPr>
      <w:r w:rsidRPr="00A1223B">
        <w:rPr>
          <w:sz w:val="22"/>
          <w:szCs w:val="22"/>
        </w:rPr>
        <w:t xml:space="preserve">Rumelhart, D. E. (1980). Schemata: The building blocks of cognition. In R. J. Spiro, B. C. Bruce, &amp; W. F. Brewer (Eds.), </w:t>
      </w:r>
      <w:r w:rsidRPr="00A1223B">
        <w:rPr>
          <w:i/>
          <w:sz w:val="22"/>
          <w:szCs w:val="22"/>
        </w:rPr>
        <w:t>Theoretical issues in reading comprehension</w:t>
      </w:r>
      <w:r w:rsidRPr="00A1223B">
        <w:rPr>
          <w:sz w:val="22"/>
          <w:szCs w:val="22"/>
        </w:rPr>
        <w:t xml:space="preserve"> (pp. 33–58). Hillsdale, NJ: Lawrence Erlbaum Associates.</w:t>
      </w:r>
    </w:p>
    <w:p w14:paraId="1955A280" w14:textId="77777777" w:rsidR="000A0959" w:rsidRPr="00A1223B" w:rsidRDefault="000A0959" w:rsidP="000A0959">
      <w:pPr>
        <w:ind w:left="567" w:hanging="567"/>
        <w:jc w:val="both"/>
        <w:rPr>
          <w:sz w:val="22"/>
          <w:szCs w:val="22"/>
        </w:rPr>
      </w:pPr>
      <w:r w:rsidRPr="00A1223B">
        <w:rPr>
          <w:sz w:val="22"/>
          <w:szCs w:val="22"/>
        </w:rPr>
        <w:t xml:space="preserve">Sweller, J., Ayres, P., &amp; Kalyuga, S. (2011). </w:t>
      </w:r>
      <w:r w:rsidRPr="00A1223B">
        <w:rPr>
          <w:i/>
          <w:sz w:val="22"/>
          <w:szCs w:val="22"/>
        </w:rPr>
        <w:t>Cognitive load theory</w:t>
      </w:r>
      <w:r w:rsidRPr="00A1223B">
        <w:rPr>
          <w:sz w:val="22"/>
          <w:szCs w:val="22"/>
        </w:rPr>
        <w:t>. New York: Springer.</w:t>
      </w:r>
    </w:p>
    <w:p w14:paraId="0547D6A7" w14:textId="77777777" w:rsidR="000A0959" w:rsidRPr="00A1223B" w:rsidRDefault="000A0959" w:rsidP="000A0959">
      <w:pPr>
        <w:ind w:left="567" w:hanging="567"/>
        <w:jc w:val="both"/>
        <w:rPr>
          <w:sz w:val="22"/>
          <w:szCs w:val="22"/>
        </w:rPr>
      </w:pPr>
      <w:r w:rsidRPr="00A1223B">
        <w:rPr>
          <w:sz w:val="22"/>
          <w:szCs w:val="22"/>
        </w:rPr>
        <w:t xml:space="preserve">Yaacob, A., Amir, A. S. A., Asraf, R. M., Yaakob, M. F. M., &amp; Zain, F. M. (2021). Impact of YouTube and video podcast on listening comprehension among young learners. </w:t>
      </w:r>
      <w:r w:rsidRPr="00A1223B">
        <w:rPr>
          <w:i/>
          <w:sz w:val="22"/>
          <w:szCs w:val="22"/>
        </w:rPr>
        <w:t>International Journal of Interactive Mobile Technologies (iJIM), 15</w:t>
      </w:r>
      <w:r w:rsidRPr="00A1223B">
        <w:rPr>
          <w:sz w:val="22"/>
          <w:szCs w:val="22"/>
        </w:rPr>
        <w:t xml:space="preserve">(20), 4–18. </w:t>
      </w:r>
      <w:hyperlink r:id="rId16" w:history="1">
        <w:r w:rsidRPr="00A1223B">
          <w:rPr>
            <w:rStyle w:val="Hyperlink"/>
            <w:sz w:val="22"/>
            <w:szCs w:val="22"/>
          </w:rPr>
          <w:t>https://doi.org/10.3991/ijim.v15i20.23701</w:t>
        </w:r>
      </w:hyperlink>
    </w:p>
    <w:sectPr w:rsidR="000A0959" w:rsidRPr="00A1223B" w:rsidSect="001B4243">
      <w:type w:val="continuous"/>
      <w:pgSz w:w="11907" w:h="16840"/>
      <w:pgMar w:top="1531" w:right="1418" w:bottom="1418" w:left="1418" w:header="851" w:footer="454" w:gutter="0"/>
      <w:pgNumType w:start="3551"/>
      <w:cols w:num="2"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C45F" w14:textId="77777777" w:rsidR="00CA5287" w:rsidRDefault="00CA5287">
      <w:r>
        <w:separator/>
      </w:r>
    </w:p>
  </w:endnote>
  <w:endnote w:type="continuationSeparator" w:id="0">
    <w:p w14:paraId="65BBDF8E" w14:textId="77777777" w:rsidR="00CA5287" w:rsidRDefault="00CA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3197" w14:textId="77777777" w:rsidR="0017726E" w:rsidRDefault="00000000">
    <w:pPr>
      <w:pBdr>
        <w:top w:val="nil"/>
        <w:left w:val="nil"/>
        <w:bottom w:val="nil"/>
        <w:right w:val="nil"/>
        <w:between w:val="nil"/>
      </w:pBdr>
      <w:tabs>
        <w:tab w:val="center" w:pos="4513"/>
        <w:tab w:val="right" w:pos="9026"/>
      </w:tabs>
      <w:spacing w:before="120"/>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7CB15B06" w14:textId="77777777" w:rsidR="0017726E" w:rsidRDefault="00000000">
    <w:pPr>
      <w:jc w:val="center"/>
    </w:pPr>
    <w:r>
      <w:rPr>
        <w:rFonts w:ascii="Georgia" w:eastAsia="Georgia" w:hAnsi="Georgia" w:cs="Georgia"/>
        <w:sz w:val="18"/>
        <w:szCs w:val="18"/>
      </w:rPr>
      <w:t>ISSN (print), ISSN (</w:t>
    </w:r>
    <w:r>
      <w:rPr>
        <w:rFonts w:ascii="Georgia" w:eastAsia="Georgia" w:hAnsi="Georgia" w:cs="Georgia"/>
        <w:i/>
        <w:sz w:val="18"/>
        <w:szCs w:val="18"/>
      </w:rPr>
      <w:t>online</w:t>
    </w:r>
    <w:r>
      <w:rPr>
        <w:rFonts w:ascii="Georgia" w:eastAsia="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35476"/>
      <w:docPartObj>
        <w:docPartGallery w:val="Page Numbers (Bottom of Page)"/>
        <w:docPartUnique/>
      </w:docPartObj>
    </w:sdtPr>
    <w:sdtEndPr>
      <w:rPr>
        <w:rFonts w:ascii="Times New Roman" w:hAnsi="Times New Roman"/>
        <w:noProof/>
        <w:sz w:val="18"/>
        <w:szCs w:val="18"/>
      </w:rPr>
    </w:sdtEndPr>
    <w:sdtContent>
      <w:p w14:paraId="4C06FA6D" w14:textId="2A9AF662" w:rsidR="008D49E4" w:rsidRPr="008D49E4" w:rsidRDefault="008D49E4">
        <w:pPr>
          <w:pStyle w:val="Footer"/>
          <w:jc w:val="center"/>
          <w:rPr>
            <w:rFonts w:ascii="Times New Roman" w:hAnsi="Times New Roman"/>
            <w:sz w:val="18"/>
            <w:szCs w:val="18"/>
          </w:rPr>
        </w:pPr>
        <w:r w:rsidRPr="008D49E4">
          <w:rPr>
            <w:rFonts w:ascii="Times New Roman" w:hAnsi="Times New Roman"/>
            <w:sz w:val="18"/>
            <w:szCs w:val="18"/>
          </w:rPr>
          <w:fldChar w:fldCharType="begin"/>
        </w:r>
        <w:r w:rsidRPr="008D49E4">
          <w:rPr>
            <w:rFonts w:ascii="Times New Roman" w:hAnsi="Times New Roman"/>
            <w:sz w:val="18"/>
            <w:szCs w:val="18"/>
          </w:rPr>
          <w:instrText xml:space="preserve"> PAGE   \* MERGEFORMAT </w:instrText>
        </w:r>
        <w:r w:rsidRPr="008D49E4">
          <w:rPr>
            <w:rFonts w:ascii="Times New Roman" w:hAnsi="Times New Roman"/>
            <w:sz w:val="18"/>
            <w:szCs w:val="18"/>
          </w:rPr>
          <w:fldChar w:fldCharType="separate"/>
        </w:r>
        <w:r w:rsidRPr="008D49E4">
          <w:rPr>
            <w:rFonts w:ascii="Times New Roman" w:hAnsi="Times New Roman"/>
            <w:noProof/>
            <w:sz w:val="18"/>
            <w:szCs w:val="18"/>
          </w:rPr>
          <w:t>2</w:t>
        </w:r>
        <w:r w:rsidRPr="008D49E4">
          <w:rPr>
            <w:rFonts w:ascii="Times New Roman" w:hAnsi="Times New Roman"/>
            <w:noProof/>
            <w:sz w:val="18"/>
            <w:szCs w:val="18"/>
          </w:rPr>
          <w:fldChar w:fldCharType="end"/>
        </w:r>
      </w:p>
    </w:sdtContent>
  </w:sdt>
  <w:p w14:paraId="768ED026" w14:textId="77777777" w:rsidR="0017726E" w:rsidRDefault="0017726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1C2" w14:textId="77777777" w:rsidR="0017726E" w:rsidRDefault="00000000">
    <w:pPr>
      <w:pBdr>
        <w:top w:val="nil"/>
        <w:left w:val="nil"/>
        <w:bottom w:val="nil"/>
        <w:right w:val="nil"/>
        <w:between w:val="nil"/>
      </w:pBdr>
      <w:tabs>
        <w:tab w:val="center" w:pos="4513"/>
        <w:tab w:val="right" w:pos="9026"/>
      </w:tabs>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C61D8">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5F42217" w14:textId="77777777" w:rsidR="0017726E" w:rsidRDefault="0017726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7C5F" w14:textId="77777777" w:rsidR="00CA5287" w:rsidRDefault="00CA5287">
      <w:r>
        <w:separator/>
      </w:r>
    </w:p>
  </w:footnote>
  <w:footnote w:type="continuationSeparator" w:id="0">
    <w:p w14:paraId="1A1CCBA9" w14:textId="77777777" w:rsidR="00CA5287" w:rsidRDefault="00CA5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597F" w14:textId="77777777" w:rsidR="0017726E" w:rsidRDefault="00000000">
    <w:pPr>
      <w:pBdr>
        <w:top w:val="nil"/>
        <w:left w:val="nil"/>
        <w:bottom w:val="nil"/>
        <w:right w:val="nil"/>
        <w:between w:val="nil"/>
      </w:pBdr>
      <w:tabs>
        <w:tab w:val="center" w:pos="4680"/>
        <w:tab w:val="right" w:pos="9360"/>
      </w:tabs>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07F34B96" w14:textId="77777777" w:rsidR="0017726E"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Georgia" w:eastAsia="Georgia" w:hAnsi="Georgia" w:cs="Georgia"/>
        <w:color w:val="000000"/>
        <w:sz w:val="20"/>
        <w:szCs w:val="20"/>
      </w:rPr>
      <w:t>Rohaini,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805D" w14:textId="365DD334" w:rsidR="002A5B75" w:rsidRPr="002A5B75" w:rsidRDefault="002A5B75" w:rsidP="002A5B75">
    <w:pPr>
      <w:rPr>
        <w:b/>
        <w:sz w:val="20"/>
        <w:szCs w:val="20"/>
        <w:lang w:val="en-ID" w:eastAsia="en-US"/>
      </w:rPr>
    </w:pPr>
    <w:r w:rsidRPr="002A5B75">
      <w:rPr>
        <w:bCs/>
        <w:sz w:val="20"/>
        <w:szCs w:val="20"/>
        <w:lang w:eastAsia="en-US"/>
      </w:rPr>
      <w:t>Arini &amp; Kuswardani</w:t>
    </w:r>
    <w:r w:rsidRPr="002A5B75">
      <w:rPr>
        <w:bCs/>
        <w:sz w:val="20"/>
        <w:szCs w:val="20"/>
        <w:lang w:val="en-US" w:eastAsia="en-US"/>
      </w:rPr>
      <w:t xml:space="preserve"> </w:t>
    </w:r>
    <w:r w:rsidRPr="002A5B75">
      <w:rPr>
        <w:sz w:val="20"/>
        <w:szCs w:val="20"/>
        <w:lang w:val="en-US" w:eastAsia="en-US"/>
      </w:rPr>
      <w:t xml:space="preserve">(2025). </w:t>
    </w:r>
    <w:proofErr w:type="spellStart"/>
    <w:r w:rsidRPr="002A5B75">
      <w:rPr>
        <w:b/>
        <w:bCs/>
        <w:sz w:val="20"/>
        <w:szCs w:val="20"/>
        <w:lang w:val="en-US" w:eastAsia="en-US"/>
      </w:rPr>
      <w:t>Jurnal</w:t>
    </w:r>
    <w:proofErr w:type="spellEnd"/>
    <w:r w:rsidRPr="002A5B75">
      <w:rPr>
        <w:b/>
        <w:bCs/>
        <w:sz w:val="20"/>
        <w:szCs w:val="20"/>
        <w:lang w:val="en-US" w:eastAsia="en-US"/>
      </w:rPr>
      <w:t xml:space="preserve"> </w:t>
    </w:r>
    <w:proofErr w:type="spellStart"/>
    <w:r w:rsidRPr="002A5B75">
      <w:rPr>
        <w:b/>
        <w:bCs/>
        <w:sz w:val="20"/>
        <w:szCs w:val="20"/>
        <w:lang w:val="en-US" w:eastAsia="en-US"/>
      </w:rPr>
      <w:t>Ilmiah</w:t>
    </w:r>
    <w:proofErr w:type="spellEnd"/>
    <w:r w:rsidRPr="002A5B75">
      <w:rPr>
        <w:b/>
        <w:bCs/>
        <w:sz w:val="20"/>
        <w:szCs w:val="20"/>
        <w:lang w:val="en-US" w:eastAsia="en-US"/>
      </w:rPr>
      <w:t xml:space="preserve"> </w:t>
    </w:r>
    <w:proofErr w:type="spellStart"/>
    <w:r w:rsidRPr="002A5B75">
      <w:rPr>
        <w:b/>
        <w:bCs/>
        <w:sz w:val="20"/>
        <w:szCs w:val="20"/>
        <w:lang w:val="en-US" w:eastAsia="en-US"/>
      </w:rPr>
      <w:t>Profesi</w:t>
    </w:r>
    <w:proofErr w:type="spellEnd"/>
    <w:r w:rsidRPr="002A5B75">
      <w:rPr>
        <w:b/>
        <w:bCs/>
        <w:sz w:val="20"/>
        <w:szCs w:val="20"/>
        <w:lang w:val="en-US" w:eastAsia="en-US"/>
      </w:rPr>
      <w:t xml:space="preserve"> Pendidikan</w:t>
    </w:r>
    <w:r w:rsidRPr="002A5B75">
      <w:rPr>
        <w:b/>
        <w:bCs/>
        <w:i/>
        <w:iCs/>
        <w:sz w:val="20"/>
        <w:szCs w:val="20"/>
        <w:lang w:val="en-US" w:eastAsia="en-US"/>
      </w:rPr>
      <w:t>,</w:t>
    </w:r>
    <w:r w:rsidRPr="002A5B75">
      <w:rPr>
        <w:sz w:val="20"/>
        <w:szCs w:val="20"/>
        <w:lang w:val="en-US" w:eastAsia="en-US"/>
      </w:rPr>
      <w:t xml:space="preserve"> 10 (4): 35</w:t>
    </w:r>
    <w:r w:rsidR="00C33625">
      <w:rPr>
        <w:sz w:val="20"/>
        <w:szCs w:val="20"/>
        <w:lang w:val="en-US" w:eastAsia="en-US"/>
      </w:rPr>
      <w:t>4</w:t>
    </w:r>
    <w:r w:rsidRPr="002A5B75">
      <w:rPr>
        <w:sz w:val="20"/>
        <w:szCs w:val="20"/>
        <w:lang w:val="en-US" w:eastAsia="en-US"/>
      </w:rPr>
      <w:t>6 – 35</w:t>
    </w:r>
    <w:r w:rsidR="00C33625">
      <w:rPr>
        <w:sz w:val="20"/>
        <w:szCs w:val="20"/>
        <w:lang w:val="en-US" w:eastAsia="en-US"/>
      </w:rPr>
      <w:t>54</w:t>
    </w:r>
  </w:p>
  <w:p w14:paraId="108F777C" w14:textId="5CB00351" w:rsidR="002A5B75" w:rsidRPr="002A5B75" w:rsidRDefault="002A5B75" w:rsidP="002A5B75">
    <w:pPr>
      <w:tabs>
        <w:tab w:val="center" w:pos="4680"/>
        <w:tab w:val="right" w:pos="9360"/>
      </w:tabs>
      <w:rPr>
        <w:rFonts w:ascii="Calibri" w:eastAsia="Calibri" w:hAnsi="Calibri"/>
        <w:sz w:val="20"/>
        <w:szCs w:val="20"/>
        <w:lang w:val="en-US" w:eastAsia="en-US"/>
      </w:rPr>
    </w:pPr>
    <w:r w:rsidRPr="002A5B75">
      <w:rPr>
        <w:rFonts w:eastAsia="Calibri"/>
        <w:noProof/>
        <w:sz w:val="20"/>
        <w:szCs w:val="20"/>
        <w:lang w:val="en-US" w:eastAsia="en-US"/>
      </w:rPr>
      <mc:AlternateContent>
        <mc:Choice Requires="wps">
          <w:drawing>
            <wp:anchor distT="0" distB="0" distL="0" distR="0" simplePos="0" relativeHeight="251659264" behindDoc="0" locked="0" layoutInCell="1" allowOverlap="1" wp14:anchorId="6AE781B9" wp14:editId="4E688074">
              <wp:simplePos x="0" y="0"/>
              <wp:positionH relativeFrom="column">
                <wp:posOffset>15240</wp:posOffset>
              </wp:positionH>
              <wp:positionV relativeFrom="paragraph">
                <wp:posOffset>234314</wp:posOffset>
              </wp:positionV>
              <wp:extent cx="5648325" cy="0"/>
              <wp:effectExtent l="38100" t="38100" r="66675" b="95250"/>
              <wp:wrapNone/>
              <wp:docPr id="40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ln w="15875" cap="flat" cmpd="sng">
                        <a:solidFill>
                          <a:srgbClr val="000000"/>
                        </a:solidFill>
                        <a:prstDash val="solid"/>
                        <a:round/>
                        <a:headEnd/>
                        <a:tailEnd/>
                      </a:ln>
                      <a:effectLst>
                        <a:outerShdw blurRad="40000" dist="127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B4517DB" id="Straight Connector 97"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OB9AEAAPUDAAAOAAAAZHJzL2Uyb0RvYy54bWysU8Fu2zAMvQ/YPwi6L07Spg2MOD006y7F&#10;ViwbdmYk2RYmS4KkxM7fj5QTr9uwyzAfBFEkH98j6c3D0Bl2UiFqZyu+mM05U1Y4qW1T8a9fnt6t&#10;OYsJrATjrKr4WUX+sH37ZtP7Ui1d64xUgSGIjWXvK96m5MuiiKJVHcSZ88qis3ahg4RmaAoZoEf0&#10;zhTL+fyu6F2QPjihYsTX3ejk24xf10qkT3UdVWKm4sgt5TPk80Bnsd1A2QTwrRYXGvAPLDrQFotO&#10;UDtIwI5B/wHVaRFcdHWaCdcVrq61UFkDqlnMf1Ozb8GrrAWbE/3Upvj/YMXH06N9CURdDHbvn534&#10;HrEpRe9jOTnJiH4MG+rQUThyZ0Nu5HlqpBoSE/i4urtd3yxXnImrr4DymuhDTB+U6xhdKm60JY1Q&#10;wuk5JioN5TWEno1lPW7Wan1PeIA7UhtIeO28rHi0TU6Ozmj5pI2hlBiaw6MJ7AQ09fzRoBH4lzCq&#10;soPYjnHZNe5DcEcr82a0CuT7yz2BNuMdgYylQipvGNImwx2TCvtW9uxgjuEzILtbqs2Z1CR0sbwf&#10;DVy/VfagK7j0Tac2T5ra+Df69A7GtzCSvVkT8EXTqDbrmzhk6xW9PM9xhDTMg5Pnl0D5ZOFu5fjL&#10;f0DL+9rOUT//1u0PAAAA//8DAFBLAwQUAAYACAAAACEAfq4SONoAAAAHAQAADwAAAGRycy9kb3du&#10;cmV2LnhtbEyOy07DMBBF90j8gzVI7KjTgIqTxqkQjy7YpeUDnHiaRMTjKHbb9O8ZxILuZuZenTnF&#10;ZnaDOOEUek8alosEBFLjbU+thq/9x4MCEaIhawZPqOGCATbl7U1hcuvPVOFpF1vBEAq50dDFOOZS&#10;hqZDZ8LCj0icHfzkTOR1aqWdzJnhbpBpkqykMz3xh86M+Nph8707OqYkal+9bZ+z8D6m1eelUXW7&#10;VVrf380vaxAR5/hfhl99VoeSnWp/JBvEoCF94qKGx1UGgmOVLXmo/w6yLOS1f/kDAAD//wMAUEsB&#10;Ai0AFAAGAAgAAAAhALaDOJL+AAAA4QEAABMAAAAAAAAAAAAAAAAAAAAAAFtDb250ZW50X1R5cGVz&#10;XS54bWxQSwECLQAUAAYACAAAACEAOP0h/9YAAACUAQAACwAAAAAAAAAAAAAAAAAvAQAAX3JlbHMv&#10;LnJlbHNQSwECLQAUAAYACAAAACEA6ZxDgfQBAAD1AwAADgAAAAAAAAAAAAAAAAAuAgAAZHJzL2Uy&#10;b0RvYy54bWxQSwECLQAUAAYACAAAACEAfq4SONoAAAAHAQAADwAAAAAAAAAAAAAAAABOBAAAZHJz&#10;L2Rvd25yZXYueG1sUEsFBgAAAAAEAAQA8wAAAFUFAAAAAA==&#10;" strokeweight="1.25pt">
              <v:shadow on="t" color="black" opacity="24903f" origin=",.5" offset="0,1pt"/>
              <o:lock v:ext="edit" shapetype="f"/>
            </v:line>
          </w:pict>
        </mc:Fallback>
      </mc:AlternateContent>
    </w:r>
    <w:r w:rsidRPr="002A5B75">
      <w:rPr>
        <w:rFonts w:eastAsia="Calibri"/>
        <w:sz w:val="20"/>
        <w:szCs w:val="20"/>
        <w:lang w:val="en-US" w:eastAsia="en-US"/>
      </w:rPr>
      <w:t xml:space="preserve">DOI: </w:t>
    </w:r>
    <w:hyperlink r:id="rId1" w:history="1">
      <w:r w:rsidR="00F150F7" w:rsidRPr="002A5B75">
        <w:rPr>
          <w:rStyle w:val="Hyperlink"/>
          <w:rFonts w:eastAsia="Calibri"/>
          <w:sz w:val="20"/>
          <w:szCs w:val="20"/>
          <w:lang w:val="en-US" w:eastAsia="en-US"/>
        </w:rPr>
        <w:t>https://doi.org/10.29303/jipp.v10i4.40</w:t>
      </w:r>
      <w:r w:rsidR="00F150F7" w:rsidRPr="005F132F">
        <w:rPr>
          <w:rStyle w:val="Hyperlink"/>
          <w:rFonts w:eastAsia="Calibri"/>
          <w:sz w:val="20"/>
          <w:szCs w:val="20"/>
          <w:lang w:val="en-US" w:eastAsia="en-US"/>
        </w:rPr>
        <w:t>3</w:t>
      </w:r>
      <w:r w:rsidR="00F150F7" w:rsidRPr="002A5B75">
        <w:rPr>
          <w:rStyle w:val="Hyperlink"/>
          <w:rFonts w:eastAsia="Calibri"/>
          <w:sz w:val="20"/>
          <w:szCs w:val="20"/>
          <w:lang w:val="en-US" w:eastAsia="en-US"/>
        </w:rPr>
        <w:t>5</w:t>
      </w:r>
    </w:hyperlink>
  </w:p>
  <w:p w14:paraId="45E31FA7" w14:textId="77777777" w:rsidR="002A5B75" w:rsidRDefault="002A5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6E"/>
    <w:rsid w:val="000A0959"/>
    <w:rsid w:val="0017726E"/>
    <w:rsid w:val="001B4243"/>
    <w:rsid w:val="001D70BC"/>
    <w:rsid w:val="00223CC3"/>
    <w:rsid w:val="00291037"/>
    <w:rsid w:val="002A5B75"/>
    <w:rsid w:val="002D3E6E"/>
    <w:rsid w:val="00321A44"/>
    <w:rsid w:val="004C61D8"/>
    <w:rsid w:val="00606915"/>
    <w:rsid w:val="00685B56"/>
    <w:rsid w:val="0070769F"/>
    <w:rsid w:val="00773A92"/>
    <w:rsid w:val="007B0572"/>
    <w:rsid w:val="007C0BD4"/>
    <w:rsid w:val="00860AC8"/>
    <w:rsid w:val="008D49E4"/>
    <w:rsid w:val="0093328F"/>
    <w:rsid w:val="00972B55"/>
    <w:rsid w:val="009B61C3"/>
    <w:rsid w:val="009C3483"/>
    <w:rsid w:val="00A1223B"/>
    <w:rsid w:val="00B049E4"/>
    <w:rsid w:val="00B46D77"/>
    <w:rsid w:val="00B66421"/>
    <w:rsid w:val="00BE30D6"/>
    <w:rsid w:val="00C33625"/>
    <w:rsid w:val="00C870DD"/>
    <w:rsid w:val="00CA37FC"/>
    <w:rsid w:val="00CA5287"/>
    <w:rsid w:val="00CF58E9"/>
    <w:rsid w:val="00D76492"/>
    <w:rsid w:val="00DE3032"/>
    <w:rsid w:val="00ED7718"/>
    <w:rsid w:val="00F150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2C45"/>
  <w15:docId w15:val="{8CFFA2E4-5BA1-48AE-ABCC-E25FE45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76" w:lineRule="auto"/>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2">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3">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4">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6">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8">
    <w:basedOn w:val="TableNormal0"/>
    <w:rPr>
      <w:rFonts w:ascii="Calibri" w:eastAsia="Calibri" w:hAnsi="Calibri" w:cs="Calibri"/>
      <w:color w:val="000000"/>
      <w:sz w:val="22"/>
      <w:szCs w:val="22"/>
    </w:rPr>
    <w:tblPr>
      <w:tblStyleRowBandSize w:val="1"/>
      <w:tblStyleColBandSize w:val="1"/>
      <w:tblCellMar>
        <w:left w:w="108"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9">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049E4"/>
    <w:rPr>
      <w:color w:val="0000FF" w:themeColor="hyperlink"/>
      <w:u w:val="single"/>
    </w:rPr>
  </w:style>
  <w:style w:type="character" w:styleId="UnresolvedMention">
    <w:name w:val="Unresolved Mention"/>
    <w:basedOn w:val="DefaultParagraphFont"/>
    <w:uiPriority w:val="99"/>
    <w:semiHidden/>
    <w:unhideWhenUsed/>
    <w:rsid w:val="00B049E4"/>
    <w:rPr>
      <w:color w:val="605E5C"/>
      <w:shd w:val="clear" w:color="auto" w:fill="E1DFDD"/>
    </w:rPr>
  </w:style>
  <w:style w:type="paragraph" w:styleId="Header">
    <w:name w:val="header"/>
    <w:basedOn w:val="Normal"/>
    <w:link w:val="HeaderChar"/>
    <w:uiPriority w:val="99"/>
    <w:unhideWhenUsed/>
    <w:rsid w:val="00A1223B"/>
    <w:pPr>
      <w:tabs>
        <w:tab w:val="center" w:pos="4513"/>
        <w:tab w:val="right" w:pos="9026"/>
      </w:tabs>
    </w:pPr>
  </w:style>
  <w:style w:type="character" w:customStyle="1" w:styleId="HeaderChar">
    <w:name w:val="Header Char"/>
    <w:basedOn w:val="DefaultParagraphFont"/>
    <w:link w:val="Header"/>
    <w:uiPriority w:val="99"/>
    <w:rsid w:val="00A1223B"/>
  </w:style>
  <w:style w:type="paragraph" w:styleId="Footer">
    <w:name w:val="footer"/>
    <w:basedOn w:val="Normal"/>
    <w:link w:val="FooterChar"/>
    <w:uiPriority w:val="99"/>
    <w:unhideWhenUsed/>
    <w:rsid w:val="008D49E4"/>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8D49E4"/>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hayukuswardani@unesa.ac.id"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3991/ijim.v15i20.23701" TargetMode="External"/><Relationship Id="rId1" Type="http://schemas.openxmlformats.org/officeDocument/2006/relationships/styles" Target="styles.xml"/><Relationship Id="rId6" Type="http://schemas.openxmlformats.org/officeDocument/2006/relationships/hyperlink" Target="mailto:tiyasanindyaa1234@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32996/ijls.2021.1.1.5"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doi.org/10.29303/jipp.v10i4.4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4860</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fuadihusnul91@gmail.com</cp:lastModifiedBy>
  <cp:revision>22</cp:revision>
  <dcterms:created xsi:type="dcterms:W3CDTF">2025-09-12T17:19:00Z</dcterms:created>
  <dcterms:modified xsi:type="dcterms:W3CDTF">2025-11-05T07:33:00Z</dcterms:modified>
</cp:coreProperties>
</file>